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2F67B" w14:textId="77777777" w:rsidR="00B13FB9" w:rsidRDefault="00B13FB9" w:rsidP="00B13FB9">
      <w:pPr>
        <w:rPr>
          <w:sz w:val="36"/>
          <w:szCs w:val="36"/>
        </w:rPr>
      </w:pPr>
    </w:p>
    <w:p w14:paraId="7D16B98D" w14:textId="396D5047" w:rsidR="00B20447" w:rsidRPr="00B20447" w:rsidRDefault="00A15523" w:rsidP="00B13FB9">
      <w:pPr>
        <w:jc w:val="center"/>
        <w:rPr>
          <w:rFonts w:ascii="Sorts Mill Goudy" w:hAnsi="Sorts Mill Goudy"/>
          <w:color w:val="0096FF"/>
          <w:sz w:val="36"/>
          <w:szCs w:val="36"/>
        </w:rPr>
      </w:pPr>
      <w:r>
        <w:rPr>
          <w:rFonts w:ascii="Sorts Mill Goudy" w:hAnsi="Sorts Mill Goudy"/>
          <w:color w:val="0096FF"/>
          <w:sz w:val="36"/>
          <w:szCs w:val="36"/>
        </w:rPr>
        <w:t>KEEPING MORE OF WHAT YOU EARN</w:t>
      </w:r>
    </w:p>
    <w:p w14:paraId="6BD95393" w14:textId="301D22CF" w:rsidR="006A2CD2" w:rsidRPr="00B20447" w:rsidRDefault="00A15523" w:rsidP="00B20447">
      <w:pPr>
        <w:jc w:val="center"/>
        <w:rPr>
          <w:rFonts w:ascii="Sorts Mill Goudy" w:hAnsi="Sorts Mill Goudy"/>
          <w:color w:val="0096FF"/>
          <w:sz w:val="36"/>
          <w:szCs w:val="36"/>
        </w:rPr>
      </w:pPr>
      <w:r>
        <w:rPr>
          <w:rFonts w:ascii="Sorts Mill Goudy" w:hAnsi="Sorts Mill Goudy"/>
          <w:color w:val="0096FF"/>
          <w:sz w:val="36"/>
          <w:szCs w:val="36"/>
        </w:rPr>
        <w:t>Protecting Growth From Tax Drag in the Accumulation Years</w:t>
      </w:r>
    </w:p>
    <w:p w14:paraId="0B682A43" w14:textId="77777777" w:rsidR="00B20447" w:rsidRPr="00B20447" w:rsidRDefault="00B20447">
      <w:pPr>
        <w:rPr>
          <w:sz w:val="36"/>
          <w:szCs w:val="36"/>
        </w:rPr>
      </w:pPr>
    </w:p>
    <w:p w14:paraId="520DE6F1" w14:textId="37E3E657" w:rsidR="00A15523" w:rsidRPr="00A15523" w:rsidRDefault="00A15523" w:rsidP="00A15523">
      <w:pPr>
        <w:rPr>
          <w:rFonts w:ascii="Acumin Pro Condensed" w:hAnsi="Acumin Pro Condensed"/>
          <w:color w:val="005493"/>
        </w:rPr>
      </w:pPr>
      <w:r w:rsidRPr="00A15523">
        <w:rPr>
          <w:rFonts w:ascii="Acumin Pro Condensed" w:hAnsi="Acumin Pro Condensed"/>
          <w:color w:val="005493"/>
        </w:rPr>
        <w:t xml:space="preserve">When it comes to building wealth, most investors </w:t>
      </w:r>
      <w:r>
        <w:rPr>
          <w:rFonts w:ascii="Acumin Pro Condensed" w:hAnsi="Acumin Pro Condensed"/>
          <w:color w:val="005493"/>
        </w:rPr>
        <w:t xml:space="preserve">are conscious of </w:t>
      </w:r>
      <w:r w:rsidRPr="00A15523">
        <w:rPr>
          <w:rFonts w:ascii="Acumin Pro Condensed" w:hAnsi="Acumin Pro Condensed"/>
          <w:color w:val="005493"/>
        </w:rPr>
        <w:t>returns, risk</w:t>
      </w:r>
      <w:r w:rsidR="00A34331">
        <w:rPr>
          <w:rFonts w:ascii="Acumin Pro Condensed" w:hAnsi="Acumin Pro Condensed"/>
          <w:color w:val="005493"/>
        </w:rPr>
        <w:t xml:space="preserve"> </w:t>
      </w:r>
      <w:r w:rsidRPr="00A15523">
        <w:rPr>
          <w:rFonts w:ascii="Acumin Pro Condensed" w:hAnsi="Acumin Pro Condensed"/>
          <w:color w:val="005493"/>
        </w:rPr>
        <w:t xml:space="preserve">and timing. But the market isn’t the only force shaping long-term </w:t>
      </w:r>
      <w:r>
        <w:rPr>
          <w:rFonts w:ascii="Acumin Pro Condensed" w:hAnsi="Acumin Pro Condensed"/>
          <w:color w:val="005493"/>
        </w:rPr>
        <w:t>wealth.</w:t>
      </w:r>
    </w:p>
    <w:p w14:paraId="7A617D5F" w14:textId="77777777" w:rsidR="00A15523" w:rsidRPr="00A15523" w:rsidRDefault="00A15523" w:rsidP="00A15523">
      <w:pPr>
        <w:rPr>
          <w:rFonts w:ascii="Acumin Pro Condensed" w:hAnsi="Acumin Pro Condensed"/>
          <w:color w:val="005493"/>
        </w:rPr>
      </w:pPr>
    </w:p>
    <w:p w14:paraId="09138CD7" w14:textId="25F3396F" w:rsidR="00A15523" w:rsidRPr="00A15523" w:rsidRDefault="00A15523" w:rsidP="00A15523">
      <w:pPr>
        <w:rPr>
          <w:rFonts w:ascii="Acumin Pro Condensed" w:hAnsi="Acumin Pro Condensed"/>
          <w:color w:val="005493"/>
        </w:rPr>
      </w:pPr>
      <w:r w:rsidRPr="00A15523">
        <w:rPr>
          <w:rFonts w:ascii="Acumin Pro Condensed" w:hAnsi="Acumin Pro Condensed"/>
          <w:color w:val="005493"/>
        </w:rPr>
        <w:t>Compounding is one of the most powerful tools investors have</w:t>
      </w:r>
      <w:r>
        <w:rPr>
          <w:rFonts w:ascii="Acumin Pro Condensed" w:hAnsi="Acumin Pro Condensed"/>
          <w:color w:val="005493"/>
        </w:rPr>
        <w:t xml:space="preserve">; </w:t>
      </w:r>
      <w:r w:rsidRPr="00A15523">
        <w:rPr>
          <w:rFonts w:ascii="Acumin Pro Condensed" w:hAnsi="Acumin Pro Condensed"/>
          <w:color w:val="005493"/>
        </w:rPr>
        <w:t>small gains layered over time can snowball into life-changing results. The catch is that compounding only works if those returns are allowed to stay invested. Taxes on dividends, interest and realized gains quietly skim off growth each year, slowing the very engine</w:t>
      </w:r>
      <w:r w:rsidR="00DE0CC7">
        <w:rPr>
          <w:rFonts w:ascii="Acumin Pro Condensed" w:hAnsi="Acumin Pro Condensed"/>
          <w:color w:val="005493"/>
        </w:rPr>
        <w:t xml:space="preserve"> that is</w:t>
      </w:r>
      <w:r w:rsidRPr="00A15523">
        <w:rPr>
          <w:rFonts w:ascii="Acumin Pro Condensed" w:hAnsi="Acumin Pro Condensed"/>
          <w:color w:val="005493"/>
        </w:rPr>
        <w:t xml:space="preserve"> meant to accelerate it. This drag adds up</w:t>
      </w:r>
      <w:r>
        <w:rPr>
          <w:rFonts w:ascii="Acumin Pro Condensed" w:hAnsi="Acumin Pro Condensed"/>
          <w:color w:val="005493"/>
        </w:rPr>
        <w:t xml:space="preserve"> and can cost you more t</w:t>
      </w:r>
      <w:r w:rsidRPr="00A15523">
        <w:rPr>
          <w:rFonts w:ascii="Acumin Pro Condensed" w:hAnsi="Acumin Pro Condensed"/>
          <w:color w:val="005493"/>
        </w:rPr>
        <w:t>han</w:t>
      </w:r>
      <w:r w:rsidR="00DE0CC7">
        <w:rPr>
          <w:rFonts w:ascii="Acumin Pro Condensed" w:hAnsi="Acumin Pro Condensed"/>
          <w:color w:val="005493"/>
        </w:rPr>
        <w:t xml:space="preserve"> management</w:t>
      </w:r>
      <w:r w:rsidRPr="00A15523">
        <w:rPr>
          <w:rFonts w:ascii="Acumin Pro Condensed" w:hAnsi="Acumin Pro Condensed"/>
          <w:color w:val="005493"/>
        </w:rPr>
        <w:t xml:space="preserve"> fees or one-off market swings.</w:t>
      </w:r>
    </w:p>
    <w:p w14:paraId="4E0EDA2A" w14:textId="77777777" w:rsidR="00A15523" w:rsidRPr="00A15523" w:rsidRDefault="00A15523" w:rsidP="00A15523">
      <w:pPr>
        <w:rPr>
          <w:rFonts w:ascii="Acumin Pro Condensed" w:hAnsi="Acumin Pro Condensed"/>
          <w:color w:val="005493"/>
        </w:rPr>
      </w:pPr>
    </w:p>
    <w:p w14:paraId="362A098F" w14:textId="75B30E4C" w:rsidR="00B20447" w:rsidRDefault="00304606" w:rsidP="00A15523">
      <w:pPr>
        <w:rPr>
          <w:rFonts w:ascii="Acumin Pro Condensed" w:hAnsi="Acumin Pro Condensed"/>
          <w:color w:val="005493"/>
        </w:rPr>
      </w:pPr>
      <w:r>
        <w:rPr>
          <w:rFonts w:ascii="Acumin Pro Condensed" w:hAnsi="Acumin Pro Condensed"/>
          <w:color w:val="005493"/>
        </w:rPr>
        <w:t xml:space="preserve">We’ve seen that while seasoned investors are acutely aware of tax drag, our clients that are growing wealth outside of maximizing their 401(k)s and starting to put away substantial savings may not have the tenure or wealth built yet to realize that </w:t>
      </w:r>
      <w:r w:rsidR="00A15523" w:rsidRPr="00A15523">
        <w:rPr>
          <w:rFonts w:ascii="Acumin Pro Condensed" w:hAnsi="Acumin Pro Condensed"/>
          <w:color w:val="005493"/>
        </w:rPr>
        <w:t>smart account structuring and</w:t>
      </w:r>
      <w:r w:rsidR="00A15523">
        <w:rPr>
          <w:rFonts w:ascii="Acumin Pro Condensed" w:hAnsi="Acumin Pro Condensed"/>
          <w:color w:val="005493"/>
        </w:rPr>
        <w:t xml:space="preserve"> a</w:t>
      </w:r>
      <w:r w:rsidR="00A15523" w:rsidRPr="00A15523">
        <w:rPr>
          <w:rFonts w:ascii="Acumin Pro Condensed" w:hAnsi="Acumin Pro Condensed"/>
          <w:color w:val="005493"/>
        </w:rPr>
        <w:t xml:space="preserve"> tax-aware strategy </w:t>
      </w:r>
      <w:r>
        <w:rPr>
          <w:rFonts w:ascii="Acumin Pro Condensed" w:hAnsi="Acumin Pro Condensed"/>
          <w:color w:val="005493"/>
        </w:rPr>
        <w:t xml:space="preserve">can meaningfully </w:t>
      </w:r>
      <w:r w:rsidR="00A15523" w:rsidRPr="00A15523">
        <w:rPr>
          <w:rFonts w:ascii="Acumin Pro Condensed" w:hAnsi="Acumin Pro Condensed"/>
          <w:color w:val="005493"/>
        </w:rPr>
        <w:t>help</w:t>
      </w:r>
      <w:r w:rsidR="00621093">
        <w:rPr>
          <w:rFonts w:ascii="Acumin Pro Condensed" w:hAnsi="Acumin Pro Condensed"/>
          <w:color w:val="005493"/>
        </w:rPr>
        <w:t xml:space="preserve"> to</w:t>
      </w:r>
      <w:r w:rsidR="00A15523" w:rsidRPr="00A15523">
        <w:rPr>
          <w:rFonts w:ascii="Acumin Pro Condensed" w:hAnsi="Acumin Pro Condensed"/>
          <w:color w:val="005493"/>
        </w:rPr>
        <w:t xml:space="preserve"> protect </w:t>
      </w:r>
      <w:r>
        <w:rPr>
          <w:rFonts w:ascii="Acumin Pro Condensed" w:hAnsi="Acumin Pro Condensed"/>
          <w:color w:val="005493"/>
        </w:rPr>
        <w:t xml:space="preserve">their </w:t>
      </w:r>
      <w:r w:rsidR="00A15523" w:rsidRPr="00A15523">
        <w:rPr>
          <w:rFonts w:ascii="Acumin Pro Condensed" w:hAnsi="Acumin Pro Condensed"/>
          <w:color w:val="005493"/>
        </w:rPr>
        <w:t>compounding power.</w:t>
      </w:r>
    </w:p>
    <w:p w14:paraId="1EBFF78B" w14:textId="77777777" w:rsidR="00A15523" w:rsidRDefault="00A15523" w:rsidP="00A15523">
      <w:pPr>
        <w:rPr>
          <w:rFonts w:ascii="Acumin Pro Condensed" w:hAnsi="Acumin Pro Condensed"/>
          <w:color w:val="005493"/>
        </w:rPr>
      </w:pPr>
    </w:p>
    <w:p w14:paraId="7CA04E29" w14:textId="1BD0A2B2" w:rsidR="00A15523" w:rsidRPr="00663EFD" w:rsidRDefault="00A15523" w:rsidP="00A15523">
      <w:pPr>
        <w:pStyle w:val="ListParagraph"/>
        <w:numPr>
          <w:ilvl w:val="0"/>
          <w:numId w:val="2"/>
        </w:numPr>
        <w:rPr>
          <w:rFonts w:ascii="Acumin Pro Condensed" w:hAnsi="Acumin Pro Condensed"/>
          <w:b/>
          <w:bCs/>
          <w:color w:val="005493"/>
        </w:rPr>
      </w:pPr>
      <w:r w:rsidRPr="00663EFD">
        <w:rPr>
          <w:rFonts w:ascii="Acumin Pro Condensed" w:hAnsi="Acumin Pro Condensed"/>
          <w:b/>
          <w:bCs/>
          <w:color w:val="005493"/>
        </w:rPr>
        <w:t>What is Tax Drag, and Why Does it Matter?</w:t>
      </w:r>
    </w:p>
    <w:p w14:paraId="2CE36B70" w14:textId="77777777" w:rsidR="00A15523" w:rsidRPr="00A15523" w:rsidRDefault="00A15523" w:rsidP="00A15523">
      <w:pPr>
        <w:rPr>
          <w:rFonts w:ascii="Acumin Pro Condensed" w:hAnsi="Acumin Pro Condensed"/>
          <w:color w:val="005493"/>
        </w:rPr>
      </w:pPr>
    </w:p>
    <w:p w14:paraId="2B9D7AC9" w14:textId="25BC4C79" w:rsidR="00A15523" w:rsidRPr="00A15523" w:rsidRDefault="00A15523" w:rsidP="00A15523">
      <w:pPr>
        <w:rPr>
          <w:rFonts w:ascii="Acumin Pro Condensed" w:hAnsi="Acumin Pro Condensed"/>
          <w:color w:val="005493"/>
        </w:rPr>
      </w:pPr>
      <w:r w:rsidRPr="00A15523">
        <w:rPr>
          <w:rFonts w:ascii="Acumin Pro Condensed" w:hAnsi="Acumin Pro Condensed"/>
          <w:color w:val="005493"/>
        </w:rPr>
        <w:t>Tax drag is the hidden toll that taxes take on your investment returns</w:t>
      </w:r>
      <w:r>
        <w:rPr>
          <w:rFonts w:ascii="Acumin Pro Condensed" w:hAnsi="Acumin Pro Condensed"/>
          <w:color w:val="005493"/>
        </w:rPr>
        <w:t xml:space="preserve">, meaning </w:t>
      </w:r>
      <w:r w:rsidRPr="00A15523">
        <w:rPr>
          <w:rFonts w:ascii="Acumin Pro Condensed" w:hAnsi="Acumin Pro Condensed"/>
          <w:color w:val="005493"/>
        </w:rPr>
        <w:t>the gap between what your portfolio earns and what actually stays invested to keep compounding.</w:t>
      </w:r>
    </w:p>
    <w:p w14:paraId="537C355A" w14:textId="77777777" w:rsidR="00A15523" w:rsidRPr="00A15523" w:rsidRDefault="00A15523" w:rsidP="00A15523">
      <w:pPr>
        <w:rPr>
          <w:rFonts w:ascii="Acumin Pro Condensed" w:hAnsi="Acumin Pro Condensed"/>
          <w:color w:val="005493"/>
        </w:rPr>
      </w:pPr>
    </w:p>
    <w:p w14:paraId="5F17B0B5" w14:textId="77777777" w:rsidR="00A15523" w:rsidRPr="00A15523" w:rsidRDefault="00A15523" w:rsidP="00A15523">
      <w:pPr>
        <w:rPr>
          <w:rFonts w:ascii="Acumin Pro Condensed" w:hAnsi="Acumin Pro Condensed"/>
          <w:color w:val="005493"/>
        </w:rPr>
      </w:pPr>
      <w:r w:rsidRPr="00A15523">
        <w:rPr>
          <w:rFonts w:ascii="Acumin Pro Condensed" w:hAnsi="Acumin Pro Condensed"/>
          <w:color w:val="005493"/>
          <w:u w:val="single"/>
        </w:rPr>
        <w:t>Example</w:t>
      </w:r>
      <w:r w:rsidRPr="00A15523">
        <w:rPr>
          <w:rFonts w:ascii="Acumin Pro Condensed" w:hAnsi="Acumin Pro Condensed"/>
          <w:color w:val="005493"/>
        </w:rPr>
        <w:t>: A portfolio earning 7% annually may only net 5.6% after a 20% long-term capital gains tax. That 1.4% difference may seem small, but stretched across 30 years on a $1 million portfolio, it could mean a shortfall of more than $1.3 million in lost growth.</w:t>
      </w:r>
    </w:p>
    <w:p w14:paraId="2AE308FD" w14:textId="77777777" w:rsidR="00A15523" w:rsidRPr="00A15523" w:rsidRDefault="00A15523" w:rsidP="00A15523">
      <w:pPr>
        <w:rPr>
          <w:rFonts w:ascii="Acumin Pro Condensed" w:hAnsi="Acumin Pro Condensed"/>
          <w:color w:val="005493"/>
        </w:rPr>
      </w:pPr>
    </w:p>
    <w:p w14:paraId="3923172E" w14:textId="4FA5597E" w:rsidR="00A15523" w:rsidRDefault="00A15523" w:rsidP="00A15523">
      <w:pPr>
        <w:rPr>
          <w:rFonts w:ascii="Acumin Pro Condensed" w:hAnsi="Acumin Pro Condensed"/>
          <w:color w:val="005493"/>
        </w:rPr>
      </w:pPr>
      <w:r w:rsidRPr="00A15523">
        <w:rPr>
          <w:rFonts w:ascii="Acumin Pro Condensed" w:hAnsi="Acumin Pro Condensed"/>
          <w:color w:val="005493"/>
        </w:rPr>
        <w:t>Over decades</w:t>
      </w:r>
      <w:r>
        <w:rPr>
          <w:rFonts w:ascii="Acumin Pro Condensed" w:hAnsi="Acumin Pro Condensed"/>
          <w:color w:val="005493"/>
        </w:rPr>
        <w:t>, e</w:t>
      </w:r>
      <w:r w:rsidRPr="00A15523">
        <w:rPr>
          <w:rFonts w:ascii="Acumin Pro Condensed" w:hAnsi="Acumin Pro Condensed"/>
          <w:color w:val="005493"/>
        </w:rPr>
        <w:t xml:space="preserve">ven a 1–2% drag each year </w:t>
      </w:r>
      <w:r w:rsidR="00A179B6">
        <w:rPr>
          <w:rFonts w:ascii="Acumin Pro Condensed" w:hAnsi="Acumin Pro Condensed"/>
          <w:color w:val="005493"/>
        </w:rPr>
        <w:t xml:space="preserve">may </w:t>
      </w:r>
      <w:r w:rsidRPr="00A15523">
        <w:rPr>
          <w:rFonts w:ascii="Acumin Pro Condensed" w:hAnsi="Acumin Pro Condensed"/>
          <w:color w:val="005493"/>
        </w:rPr>
        <w:t>compound into millions</w:t>
      </w:r>
      <w:r>
        <w:rPr>
          <w:rFonts w:ascii="Acumin Pro Condensed" w:hAnsi="Acumin Pro Condensed"/>
          <w:color w:val="005493"/>
        </w:rPr>
        <w:t xml:space="preserve"> </w:t>
      </w:r>
      <w:r w:rsidRPr="00A15523">
        <w:rPr>
          <w:rFonts w:ascii="Acumin Pro Condensed" w:hAnsi="Acumin Pro Condensed"/>
          <w:color w:val="005493"/>
        </w:rPr>
        <w:t xml:space="preserve">of </w:t>
      </w:r>
      <w:r w:rsidR="00A179B6">
        <w:rPr>
          <w:rFonts w:ascii="Acumin Pro Condensed" w:hAnsi="Acumin Pro Condensed"/>
          <w:color w:val="005493"/>
        </w:rPr>
        <w:t xml:space="preserve">missing </w:t>
      </w:r>
      <w:r w:rsidRPr="00A15523">
        <w:rPr>
          <w:rFonts w:ascii="Acumin Pro Condensed" w:hAnsi="Acumin Pro Condensed"/>
          <w:color w:val="005493"/>
        </w:rPr>
        <w:t>dollars by retirement.</w:t>
      </w:r>
      <w:r>
        <w:rPr>
          <w:rFonts w:ascii="Acumin Pro Condensed" w:hAnsi="Acumin Pro Condensed"/>
          <w:color w:val="005493"/>
        </w:rPr>
        <w:t xml:space="preserve"> So while t</w:t>
      </w:r>
      <w:r w:rsidRPr="00A15523">
        <w:rPr>
          <w:rFonts w:ascii="Acumin Pro Condensed" w:hAnsi="Acumin Pro Condensed"/>
          <w:color w:val="005493"/>
        </w:rPr>
        <w:t xml:space="preserve">ax drag </w:t>
      </w:r>
      <w:r>
        <w:rPr>
          <w:rFonts w:ascii="Acumin Pro Condensed" w:hAnsi="Acumin Pro Condensed"/>
          <w:color w:val="005493"/>
        </w:rPr>
        <w:t xml:space="preserve">doesn’t get the attention that market volatility does, without proactive strategies, </w:t>
      </w:r>
      <w:r w:rsidRPr="00A15523">
        <w:rPr>
          <w:rFonts w:ascii="Acumin Pro Condensed" w:hAnsi="Acumin Pro Condensed"/>
          <w:color w:val="005493"/>
        </w:rPr>
        <w:t>it steadily eats away at the compounding engine that wealth depends on</w:t>
      </w:r>
      <w:r>
        <w:rPr>
          <w:rFonts w:ascii="Acumin Pro Condensed" w:hAnsi="Acumin Pro Condensed"/>
          <w:color w:val="005493"/>
        </w:rPr>
        <w:t xml:space="preserve"> to keep growing. </w:t>
      </w:r>
    </w:p>
    <w:p w14:paraId="6055058B" w14:textId="77777777" w:rsidR="00A15523" w:rsidRDefault="00A15523" w:rsidP="00A15523">
      <w:pPr>
        <w:rPr>
          <w:rFonts w:ascii="Acumin Pro Condensed" w:hAnsi="Acumin Pro Condensed"/>
          <w:color w:val="005493"/>
        </w:rPr>
      </w:pPr>
    </w:p>
    <w:p w14:paraId="4B60329D" w14:textId="56ACBAF0" w:rsidR="00A15523" w:rsidRPr="00663EFD" w:rsidRDefault="00A15523" w:rsidP="00A15523">
      <w:pPr>
        <w:pStyle w:val="ListParagraph"/>
        <w:numPr>
          <w:ilvl w:val="0"/>
          <w:numId w:val="2"/>
        </w:numPr>
        <w:rPr>
          <w:rFonts w:ascii="Acumin Pro Condensed" w:hAnsi="Acumin Pro Condensed"/>
          <w:b/>
          <w:bCs/>
          <w:color w:val="005493"/>
        </w:rPr>
      </w:pPr>
      <w:r w:rsidRPr="00663EFD">
        <w:rPr>
          <w:rFonts w:ascii="Acumin Pro Condensed" w:hAnsi="Acumin Pro Condensed"/>
          <w:b/>
          <w:bCs/>
          <w:color w:val="005493"/>
        </w:rPr>
        <w:t>Tax Location: Putting Assets Where They Work Hardest</w:t>
      </w:r>
    </w:p>
    <w:p w14:paraId="44829823" w14:textId="77777777" w:rsidR="00A15523" w:rsidRPr="00A15523" w:rsidRDefault="00A15523" w:rsidP="00A15523">
      <w:pPr>
        <w:rPr>
          <w:rFonts w:ascii="Acumin Pro Condensed" w:hAnsi="Acumin Pro Condensed"/>
          <w:color w:val="005493"/>
        </w:rPr>
      </w:pPr>
    </w:p>
    <w:p w14:paraId="61134E28" w14:textId="7AEA2D78" w:rsidR="00A15523" w:rsidRPr="00A15523" w:rsidRDefault="00A15523" w:rsidP="00A15523">
      <w:pPr>
        <w:rPr>
          <w:rFonts w:ascii="Acumin Pro Condensed" w:hAnsi="Acumin Pro Condensed"/>
          <w:color w:val="005493"/>
        </w:rPr>
      </w:pPr>
      <w:r w:rsidRPr="00A15523">
        <w:rPr>
          <w:rFonts w:ascii="Acumin Pro Condensed" w:hAnsi="Acumin Pro Condensed"/>
          <w:color w:val="005493"/>
        </w:rPr>
        <w:t>One of the most overlooked levers for wealth builders in their 30s, 40s</w:t>
      </w:r>
      <w:r w:rsidR="00A34331">
        <w:rPr>
          <w:rFonts w:ascii="Acumin Pro Condensed" w:hAnsi="Acumin Pro Condensed"/>
          <w:color w:val="005493"/>
        </w:rPr>
        <w:t xml:space="preserve"> </w:t>
      </w:r>
      <w:r w:rsidRPr="00A15523">
        <w:rPr>
          <w:rFonts w:ascii="Acumin Pro Condensed" w:hAnsi="Acumin Pro Condensed"/>
          <w:color w:val="005493"/>
        </w:rPr>
        <w:t xml:space="preserve">and 50s isn’t </w:t>
      </w:r>
      <w:r w:rsidRPr="00A15523">
        <w:rPr>
          <w:rFonts w:ascii="Acumin Pro Condensed" w:hAnsi="Acumin Pro Condensed"/>
          <w:i/>
          <w:iCs/>
          <w:color w:val="005493"/>
        </w:rPr>
        <w:t>what</w:t>
      </w:r>
      <w:r w:rsidRPr="00A15523">
        <w:rPr>
          <w:rFonts w:ascii="Acumin Pro Condensed" w:hAnsi="Acumin Pro Condensed"/>
          <w:color w:val="005493"/>
        </w:rPr>
        <w:t xml:space="preserve"> they invest in</w:t>
      </w:r>
      <w:r>
        <w:rPr>
          <w:rFonts w:ascii="Acumin Pro Condensed" w:hAnsi="Acumin Pro Condensed"/>
          <w:color w:val="005493"/>
        </w:rPr>
        <w:t>,</w:t>
      </w:r>
      <w:r w:rsidRPr="00A15523">
        <w:rPr>
          <w:rFonts w:ascii="Acumin Pro Condensed" w:hAnsi="Acumin Pro Condensed"/>
          <w:color w:val="005493"/>
        </w:rPr>
        <w:t xml:space="preserve"> it’s </w:t>
      </w:r>
      <w:r w:rsidRPr="00A15523">
        <w:rPr>
          <w:rFonts w:ascii="Acumin Pro Condensed" w:hAnsi="Acumin Pro Condensed"/>
          <w:i/>
          <w:iCs/>
          <w:color w:val="005493"/>
        </w:rPr>
        <w:t xml:space="preserve">where </w:t>
      </w:r>
      <w:r w:rsidRPr="00A15523">
        <w:rPr>
          <w:rFonts w:ascii="Acumin Pro Condensed" w:hAnsi="Acumin Pro Condensed"/>
          <w:color w:val="005493"/>
        </w:rPr>
        <w:t>they hold those investments. Placing the right assets in the right accounts can materially change net returns over decades.</w:t>
      </w:r>
      <w:r>
        <w:rPr>
          <w:rFonts w:ascii="Acumin Pro Condensed" w:hAnsi="Acumin Pro Condensed"/>
          <w:color w:val="005493"/>
        </w:rPr>
        <w:t xml:space="preserve"> While no two clients or situations are the same, we’ve outlined below </w:t>
      </w:r>
      <w:r w:rsidR="008937CB">
        <w:rPr>
          <w:rFonts w:ascii="Acumin Pro Condensed" w:hAnsi="Acumin Pro Condensed"/>
          <w:color w:val="005493"/>
        </w:rPr>
        <w:t>some guiding principles so you can start thinking about how you might structure your assets:</w:t>
      </w:r>
    </w:p>
    <w:p w14:paraId="3CAA2D66" w14:textId="77777777" w:rsidR="00A15523" w:rsidRPr="00A15523" w:rsidRDefault="00A15523" w:rsidP="00A15523">
      <w:pPr>
        <w:rPr>
          <w:rFonts w:ascii="Acumin Pro Condensed" w:hAnsi="Acumin Pro Condensed"/>
          <w:color w:val="005493"/>
        </w:rPr>
      </w:pPr>
    </w:p>
    <w:p w14:paraId="6B528E08" w14:textId="77777777" w:rsidR="008937CB" w:rsidRPr="00D82F6E" w:rsidRDefault="00A15523" w:rsidP="00A15523">
      <w:pPr>
        <w:pStyle w:val="ListParagraph"/>
        <w:numPr>
          <w:ilvl w:val="0"/>
          <w:numId w:val="3"/>
        </w:numPr>
        <w:rPr>
          <w:rFonts w:ascii="Acumin Pro Condensed" w:hAnsi="Acumin Pro Condensed"/>
          <w:color w:val="005493"/>
        </w:rPr>
      </w:pPr>
      <w:r w:rsidRPr="008937CB">
        <w:rPr>
          <w:rFonts w:ascii="Acumin Pro Condensed" w:hAnsi="Acumin Pro Condensed"/>
          <w:color w:val="005493"/>
        </w:rPr>
        <w:t>Taxable Accounts (Brokerage)</w:t>
      </w:r>
      <w:r w:rsidR="008937CB">
        <w:rPr>
          <w:rFonts w:ascii="Acumin Pro Condensed" w:hAnsi="Acumin Pro Condensed"/>
          <w:color w:val="005493"/>
        </w:rPr>
        <w:t xml:space="preserve">: </w:t>
      </w:r>
      <w:r w:rsidRPr="008937CB">
        <w:rPr>
          <w:rFonts w:ascii="Acumin Pro Condensed" w:hAnsi="Acumin Pro Condensed"/>
          <w:color w:val="005493"/>
        </w:rPr>
        <w:t xml:space="preserve">Best suited for tax-efficient assets. Think ETFs, individual equities held long-term or municipal bonds. These enjoy favorable capital gains treatment and qualified dividend </w:t>
      </w:r>
      <w:r w:rsidRPr="008937CB">
        <w:rPr>
          <w:rFonts w:ascii="Acumin Pro Condensed" w:hAnsi="Acumin Pro Condensed"/>
          <w:color w:val="005493"/>
        </w:rPr>
        <w:lastRenderedPageBreak/>
        <w:t>rates. For high earners, taxable accounts also create optionality —</w:t>
      </w:r>
      <w:r w:rsidR="008937CB">
        <w:rPr>
          <w:rFonts w:ascii="Acumin Pro Condensed" w:hAnsi="Acumin Pro Condensed"/>
          <w:color w:val="005493"/>
        </w:rPr>
        <w:t xml:space="preserve"> e.g.,</w:t>
      </w:r>
      <w:r w:rsidRPr="008937CB">
        <w:rPr>
          <w:rFonts w:ascii="Acumin Pro Condensed" w:hAnsi="Acumin Pro Condensed"/>
          <w:color w:val="005493"/>
        </w:rPr>
        <w:t xml:space="preserve"> liquidity for opportunities like a real estate purchase, a business investment</w:t>
      </w:r>
      <w:r w:rsidR="008937CB">
        <w:rPr>
          <w:rFonts w:ascii="Acumin Pro Condensed" w:hAnsi="Acumin Pro Condensed"/>
          <w:color w:val="005493"/>
        </w:rPr>
        <w:t xml:space="preserve"> </w:t>
      </w:r>
      <w:r w:rsidRPr="008937CB">
        <w:rPr>
          <w:rFonts w:ascii="Acumin Pro Condensed" w:hAnsi="Acumin Pro Condensed"/>
          <w:color w:val="005493"/>
        </w:rPr>
        <w:t xml:space="preserve">or an early </w:t>
      </w:r>
      <w:r w:rsidRPr="00D82F6E">
        <w:rPr>
          <w:rFonts w:ascii="Acumin Pro Condensed" w:hAnsi="Acumin Pro Condensed"/>
          <w:color w:val="005493"/>
        </w:rPr>
        <w:t>retirement window.</w:t>
      </w:r>
    </w:p>
    <w:p w14:paraId="2478FC3F" w14:textId="77777777" w:rsidR="00027AFE" w:rsidRPr="00D82F6E" w:rsidRDefault="00027AFE" w:rsidP="00027AFE">
      <w:pPr>
        <w:pStyle w:val="ListParagraph"/>
        <w:rPr>
          <w:rFonts w:ascii="Acumin Pro Condensed" w:hAnsi="Acumin Pro Condensed"/>
          <w:color w:val="005493"/>
        </w:rPr>
      </w:pPr>
    </w:p>
    <w:p w14:paraId="350BEB82" w14:textId="77777777" w:rsidR="00027AFE" w:rsidRPr="00D82F6E" w:rsidRDefault="00027AFE" w:rsidP="00027AFE">
      <w:pPr>
        <w:pStyle w:val="ListParagraph"/>
        <w:rPr>
          <w:rFonts w:ascii="Acumin Pro Condensed" w:hAnsi="Acumin Pro Condensed"/>
          <w:color w:val="005493"/>
        </w:rPr>
      </w:pPr>
    </w:p>
    <w:p w14:paraId="475CC76A" w14:textId="327CC74D" w:rsidR="008937CB" w:rsidRPr="00D82F6E" w:rsidRDefault="00A15523" w:rsidP="00027AFE">
      <w:pPr>
        <w:pStyle w:val="ListParagraph"/>
        <w:numPr>
          <w:ilvl w:val="0"/>
          <w:numId w:val="3"/>
        </w:numPr>
        <w:rPr>
          <w:rFonts w:ascii="Acumin Pro Condensed" w:hAnsi="Acumin Pro Condensed"/>
          <w:color w:val="005493"/>
        </w:rPr>
      </w:pPr>
      <w:r w:rsidRPr="00D82F6E">
        <w:rPr>
          <w:rFonts w:ascii="Acumin Pro Condensed" w:hAnsi="Acumin Pro Condensed"/>
          <w:color w:val="005493"/>
        </w:rPr>
        <w:t xml:space="preserve">Tax-Deferred Accounts (401(k), Traditional IRA, </w:t>
      </w:r>
      <w:r w:rsidR="00027AFE" w:rsidRPr="00D82F6E">
        <w:rPr>
          <w:rFonts w:ascii="Acumin Pro Condensed" w:hAnsi="Acumin Pro Condensed"/>
          <w:color w:val="005493"/>
        </w:rPr>
        <w:t xml:space="preserve">private equity, </w:t>
      </w:r>
      <w:r w:rsidRPr="00D82F6E">
        <w:rPr>
          <w:rFonts w:ascii="Acumin Pro Condensed" w:hAnsi="Acumin Pro Condensed"/>
          <w:color w:val="005493"/>
        </w:rPr>
        <w:t>etc.</w:t>
      </w:r>
      <w:r w:rsidR="008937CB" w:rsidRPr="00D82F6E">
        <w:rPr>
          <w:rFonts w:ascii="Acumin Pro Condensed" w:hAnsi="Acumin Pro Condensed"/>
          <w:color w:val="005493"/>
        </w:rPr>
        <w:t xml:space="preserve">): </w:t>
      </w:r>
      <w:r w:rsidRPr="00D82F6E">
        <w:rPr>
          <w:rFonts w:ascii="Acumin Pro Condensed" w:hAnsi="Acumin Pro Condensed"/>
          <w:color w:val="005493"/>
        </w:rPr>
        <w:t xml:space="preserve">A natural home for tax-inefficient assets like high-yield bonds, REITs or actively managed funds that spin off taxable income. Growth is </w:t>
      </w:r>
      <w:r w:rsidR="00027AFE" w:rsidRPr="00D82F6E">
        <w:rPr>
          <w:rFonts w:ascii="Acumin Pro Condensed" w:hAnsi="Acumin Pro Condensed"/>
          <w:color w:val="005493"/>
        </w:rPr>
        <w:t>tax insulated</w:t>
      </w:r>
      <w:r w:rsidRPr="00D82F6E">
        <w:rPr>
          <w:rFonts w:ascii="Acumin Pro Condensed" w:hAnsi="Acumin Pro Condensed"/>
          <w:color w:val="005493"/>
        </w:rPr>
        <w:t xml:space="preserve"> until withdrawal, reducing the annual tax bite. But remember: these accounts are </w:t>
      </w:r>
      <w:r w:rsidR="00C06023" w:rsidRPr="00D82F6E">
        <w:rPr>
          <w:rFonts w:ascii="Acumin Pro Condensed" w:hAnsi="Acumin Pro Condensed"/>
          <w:color w:val="005493"/>
        </w:rPr>
        <w:t>tax deferred and fund future retirement income, and will be taxed accordingly</w:t>
      </w:r>
      <w:r w:rsidRPr="00D82F6E">
        <w:rPr>
          <w:rFonts w:ascii="Acumin Pro Condensed" w:hAnsi="Acumin Pro Condensed"/>
          <w:color w:val="005493"/>
        </w:rPr>
        <w:t>. Every dollar comes back out as ordinary income</w:t>
      </w:r>
      <w:r w:rsidR="00D82F6E" w:rsidRPr="00D82F6E">
        <w:rPr>
          <w:rFonts w:ascii="Acumin Pro Condensed" w:hAnsi="Acumin Pro Condensed"/>
          <w:color w:val="005493"/>
        </w:rPr>
        <w:t>.</w:t>
      </w:r>
      <w:r w:rsidR="00D82F6E">
        <w:rPr>
          <w:rStyle w:val="FootnoteReference"/>
          <w:rFonts w:ascii="Acumin Pro Condensed" w:hAnsi="Acumin Pro Condensed"/>
          <w:color w:val="005493"/>
        </w:rPr>
        <w:footnoteReference w:id="1"/>
      </w:r>
    </w:p>
    <w:p w14:paraId="4B3EAC96" w14:textId="6738DCF7" w:rsidR="00F46FA6" w:rsidRPr="00F46FA6" w:rsidRDefault="00A15523" w:rsidP="00F46FA6">
      <w:pPr>
        <w:pStyle w:val="ListParagraph"/>
        <w:numPr>
          <w:ilvl w:val="0"/>
          <w:numId w:val="3"/>
        </w:numPr>
        <w:rPr>
          <w:rFonts w:ascii="Acumin Pro Condensed" w:hAnsi="Acumin Pro Condensed"/>
          <w:color w:val="005493"/>
        </w:rPr>
      </w:pPr>
      <w:r w:rsidRPr="00D82F6E">
        <w:rPr>
          <w:rFonts w:ascii="Acumin Pro Condensed" w:hAnsi="Acumin Pro Condensed"/>
          <w:color w:val="005493"/>
        </w:rPr>
        <w:t>Tax-Exempt Accounts (Roth IRA, Roth 401(k)</w:t>
      </w:r>
      <w:r w:rsidR="00467738" w:rsidRPr="00D82F6E">
        <w:rPr>
          <w:rFonts w:ascii="Acumin Pro Condensed" w:hAnsi="Acumin Pro Condensed"/>
          <w:color w:val="005493"/>
        </w:rPr>
        <w:t>, HSA</w:t>
      </w:r>
      <w:r w:rsidRPr="00D82F6E">
        <w:rPr>
          <w:rFonts w:ascii="Acumin Pro Condensed" w:hAnsi="Acumin Pro Condensed"/>
          <w:color w:val="005493"/>
        </w:rPr>
        <w:t>)</w:t>
      </w:r>
      <w:r w:rsidR="008937CB" w:rsidRPr="00D82F6E">
        <w:rPr>
          <w:rFonts w:ascii="Acumin Pro Condensed" w:hAnsi="Acumin Pro Condensed"/>
          <w:color w:val="005493"/>
        </w:rPr>
        <w:t xml:space="preserve">: </w:t>
      </w:r>
      <w:r w:rsidRPr="00D82F6E">
        <w:rPr>
          <w:rFonts w:ascii="Acumin Pro Condensed" w:hAnsi="Acumin Pro Condensed"/>
          <w:color w:val="005493"/>
        </w:rPr>
        <w:t>The crown jewel for long-term growth. Roth accounts are where you want to hold your highest-upside, most aggressive assets —</w:t>
      </w:r>
      <w:r w:rsidR="008937CB" w:rsidRPr="00D82F6E">
        <w:rPr>
          <w:rFonts w:ascii="Acumin Pro Condensed" w:hAnsi="Acumin Pro Condensed"/>
          <w:color w:val="005493"/>
        </w:rPr>
        <w:t xml:space="preserve"> e.g.,</w:t>
      </w:r>
      <w:r w:rsidRPr="00D82F6E">
        <w:rPr>
          <w:rFonts w:ascii="Acumin Pro Condensed" w:hAnsi="Acumin Pro Condensed"/>
          <w:color w:val="005493"/>
        </w:rPr>
        <w:t xml:space="preserve"> small-cap equities</w:t>
      </w:r>
      <w:r w:rsidR="00A34331" w:rsidRPr="00D82F6E">
        <w:rPr>
          <w:rFonts w:ascii="Acumin Pro Condensed" w:hAnsi="Acumin Pro Condensed"/>
          <w:color w:val="005493"/>
        </w:rPr>
        <w:t xml:space="preserve"> or </w:t>
      </w:r>
      <w:r w:rsidRPr="00D82F6E">
        <w:rPr>
          <w:rFonts w:ascii="Acumin Pro Condensed" w:hAnsi="Acumin Pro Condensed"/>
          <w:color w:val="005493"/>
        </w:rPr>
        <w:t>growth stock</w:t>
      </w:r>
      <w:r w:rsidR="00A34331" w:rsidRPr="00D82F6E">
        <w:rPr>
          <w:rFonts w:ascii="Acumin Pro Condensed" w:hAnsi="Acumin Pro Condensed"/>
          <w:color w:val="005493"/>
        </w:rPr>
        <w:t xml:space="preserve">s </w:t>
      </w:r>
      <w:r w:rsidRPr="00D82F6E">
        <w:rPr>
          <w:rFonts w:ascii="Acumin Pro Condensed" w:hAnsi="Acumin Pro Condensed"/>
          <w:color w:val="005493"/>
        </w:rPr>
        <w:t xml:space="preserve">— because every dollar of future gain can be tax-free if the rules are met. For clients who expect higher tax brackets later, </w:t>
      </w:r>
      <w:r w:rsidR="009C10BA" w:rsidRPr="00D82F6E">
        <w:rPr>
          <w:rFonts w:ascii="Acumin Pro Condensed" w:hAnsi="Acumin Pro Condensed"/>
          <w:color w:val="005493"/>
        </w:rPr>
        <w:t xml:space="preserve">the </w:t>
      </w:r>
      <w:r w:rsidRPr="00D82F6E">
        <w:rPr>
          <w:rFonts w:ascii="Acumin Pro Condensed" w:hAnsi="Acumin Pro Condensed"/>
          <w:color w:val="005493"/>
        </w:rPr>
        <w:t xml:space="preserve">“backdoor” Roth </w:t>
      </w:r>
      <w:r w:rsidR="009C10BA" w:rsidRPr="00D82F6E">
        <w:rPr>
          <w:rFonts w:ascii="Acumin Pro Condensed" w:hAnsi="Acumin Pro Condensed"/>
          <w:color w:val="005493"/>
        </w:rPr>
        <w:t>or “mega backdoor Roth” c</w:t>
      </w:r>
      <w:r w:rsidRPr="00D82F6E">
        <w:rPr>
          <w:rFonts w:ascii="Acumin Pro Condensed" w:hAnsi="Acumin Pro Condensed"/>
          <w:color w:val="005493"/>
        </w:rPr>
        <w:t>an be particularly powerful.</w:t>
      </w:r>
      <w:r w:rsidR="00467738" w:rsidRPr="00D82F6E">
        <w:rPr>
          <w:rFonts w:ascii="Acumin Pro Condensed" w:hAnsi="Acumin Pro Condensed"/>
          <w:color w:val="005493"/>
        </w:rPr>
        <w:t xml:space="preserve"> </w:t>
      </w:r>
      <w:r w:rsidR="009C10BA" w:rsidRPr="00D82F6E">
        <w:rPr>
          <w:rFonts w:ascii="Acumin Pro Condensed" w:hAnsi="Acumin Pro Condensed"/>
          <w:color w:val="005493"/>
        </w:rPr>
        <w:t xml:space="preserve">Another strategy that some of our clients utilize is to convert </w:t>
      </w:r>
      <w:r w:rsidR="002E7697" w:rsidRPr="00D82F6E">
        <w:rPr>
          <w:rFonts w:ascii="Acumin Pro Condensed" w:hAnsi="Acumin Pro Condensed"/>
          <w:color w:val="005493"/>
        </w:rPr>
        <w:t>t</w:t>
      </w:r>
      <w:r w:rsidR="009C10BA" w:rsidRPr="00D82F6E">
        <w:rPr>
          <w:rFonts w:ascii="Acumin Pro Condensed" w:hAnsi="Acumin Pro Condensed"/>
          <w:color w:val="005493"/>
        </w:rPr>
        <w:t>radition</w:t>
      </w:r>
      <w:r w:rsidR="00504C21" w:rsidRPr="00D82F6E">
        <w:rPr>
          <w:rFonts w:ascii="Acumin Pro Condensed" w:hAnsi="Acumin Pro Condensed"/>
          <w:color w:val="005493"/>
        </w:rPr>
        <w:t>al</w:t>
      </w:r>
      <w:r w:rsidR="009C10BA" w:rsidRPr="00D82F6E">
        <w:rPr>
          <w:rFonts w:ascii="Acumin Pro Condensed" w:hAnsi="Acumin Pro Condensed"/>
          <w:color w:val="005493"/>
        </w:rPr>
        <w:t xml:space="preserve"> </w:t>
      </w:r>
      <w:r w:rsidR="00504C21" w:rsidRPr="00D82F6E">
        <w:rPr>
          <w:rFonts w:ascii="Acumin Pro Condensed" w:hAnsi="Acumin Pro Condensed"/>
          <w:color w:val="005493"/>
        </w:rPr>
        <w:t>IRAs</w:t>
      </w:r>
      <w:r w:rsidR="009C10BA">
        <w:rPr>
          <w:rFonts w:ascii="Acumin Pro Condensed" w:hAnsi="Acumin Pro Condensed"/>
          <w:color w:val="005493"/>
        </w:rPr>
        <w:t xml:space="preserve"> to Roth IRAs, meaning they pay tax at the time of conversion and then</w:t>
      </w:r>
      <w:r w:rsidR="008D4E37">
        <w:rPr>
          <w:rFonts w:ascii="Acumin Pro Condensed" w:hAnsi="Acumin Pro Condensed"/>
          <w:color w:val="005493"/>
        </w:rPr>
        <w:t xml:space="preserve"> their investments</w:t>
      </w:r>
      <w:r w:rsidR="009C10BA">
        <w:rPr>
          <w:rFonts w:ascii="Acumin Pro Condensed" w:hAnsi="Acumin Pro Condensed"/>
          <w:color w:val="005493"/>
        </w:rPr>
        <w:t xml:space="preserve"> grow tax-free from there. </w:t>
      </w:r>
      <w:r w:rsidR="00504C21">
        <w:rPr>
          <w:rFonts w:ascii="Acumin Pro Condensed" w:hAnsi="Acumin Pro Condensed"/>
          <w:color w:val="005493"/>
        </w:rPr>
        <w:t>And f</w:t>
      </w:r>
      <w:r w:rsidR="009C10BA">
        <w:rPr>
          <w:rFonts w:ascii="Acumin Pro Condensed" w:hAnsi="Acumin Pro Condensed"/>
          <w:color w:val="005493"/>
        </w:rPr>
        <w:t xml:space="preserve">or </w:t>
      </w:r>
      <w:r w:rsidR="00F542D7" w:rsidRPr="009C10BA">
        <w:rPr>
          <w:rFonts w:ascii="Acumin Pro Condensed" w:hAnsi="Acumin Pro Condensed"/>
          <w:color w:val="005493"/>
        </w:rPr>
        <w:t xml:space="preserve">those </w:t>
      </w:r>
      <w:r w:rsidR="00467738" w:rsidRPr="009C10BA">
        <w:rPr>
          <w:rFonts w:ascii="Acumin Pro Condensed" w:hAnsi="Acumin Pro Condensed"/>
          <w:color w:val="005493"/>
        </w:rPr>
        <w:t>seeking to take advantage of this benefit</w:t>
      </w:r>
      <w:r w:rsidR="00504C21">
        <w:rPr>
          <w:rFonts w:ascii="Acumin Pro Condensed" w:hAnsi="Acumin Pro Condensed"/>
          <w:color w:val="005493"/>
        </w:rPr>
        <w:t>, but limited by income and/or contribution limits</w:t>
      </w:r>
      <w:r w:rsidR="00467738" w:rsidRPr="009C10BA">
        <w:rPr>
          <w:rFonts w:ascii="Acumin Pro Condensed" w:hAnsi="Acumin Pro Condensed"/>
          <w:color w:val="005493"/>
        </w:rPr>
        <w:t xml:space="preserve">, </w:t>
      </w:r>
      <w:r w:rsidR="00F542D7" w:rsidRPr="009C10BA">
        <w:rPr>
          <w:rFonts w:ascii="Acumin Pro Condensed" w:hAnsi="Acumin Pro Condensed"/>
          <w:color w:val="005493"/>
        </w:rPr>
        <w:t>life insurance may be a viable solution for larger tax-free accumulation to distribute in retirement</w:t>
      </w:r>
      <w:r w:rsidR="00504C21">
        <w:rPr>
          <w:rFonts w:ascii="Acumin Pro Condensed" w:hAnsi="Acumin Pro Condensed"/>
          <w:color w:val="005493"/>
        </w:rPr>
        <w:t xml:space="preserve">. </w:t>
      </w:r>
    </w:p>
    <w:p w14:paraId="1811167E" w14:textId="77777777" w:rsidR="009C10BA" w:rsidRPr="009C10BA" w:rsidRDefault="009C10BA" w:rsidP="009C10BA">
      <w:pPr>
        <w:pStyle w:val="ListParagraph"/>
        <w:rPr>
          <w:rFonts w:ascii="Acumin Pro Condensed" w:hAnsi="Acumin Pro Condensed"/>
          <w:color w:val="005493"/>
        </w:rPr>
      </w:pPr>
    </w:p>
    <w:p w14:paraId="595F5332" w14:textId="255D4647" w:rsidR="00A15523" w:rsidRPr="00A15523" w:rsidRDefault="00A15523" w:rsidP="00A15523">
      <w:pPr>
        <w:rPr>
          <w:rFonts w:ascii="Acumin Pro Condensed" w:hAnsi="Acumin Pro Condensed"/>
          <w:color w:val="005493"/>
        </w:rPr>
      </w:pPr>
      <w:r w:rsidRPr="00A15523">
        <w:rPr>
          <w:rFonts w:ascii="Acumin Pro Condensed" w:hAnsi="Acumin Pro Condensed"/>
          <w:color w:val="005493"/>
        </w:rPr>
        <w:t>Client Example:</w:t>
      </w:r>
      <w:r w:rsidR="008937CB">
        <w:rPr>
          <w:rFonts w:ascii="Acumin Pro Condensed" w:hAnsi="Acumin Pro Condensed"/>
          <w:color w:val="005493"/>
        </w:rPr>
        <w:t xml:space="preserve"> </w:t>
      </w:r>
      <w:r w:rsidRPr="00A15523">
        <w:rPr>
          <w:rFonts w:ascii="Acumin Pro Condensed" w:hAnsi="Acumin Pro Condensed"/>
          <w:color w:val="005493"/>
        </w:rPr>
        <w:t>We recently worked with a law firm partner who</w:t>
      </w:r>
      <w:r w:rsidR="007B1E46">
        <w:rPr>
          <w:rFonts w:ascii="Acumin Pro Condensed" w:hAnsi="Acumin Pro Condensed"/>
          <w:color w:val="005493"/>
        </w:rPr>
        <w:t xml:space="preserve"> was investing in private equity funds in </w:t>
      </w:r>
      <w:r w:rsidR="0093512A">
        <w:rPr>
          <w:rFonts w:ascii="Acumin Pro Condensed" w:hAnsi="Acumin Pro Condensed"/>
          <w:color w:val="005493"/>
        </w:rPr>
        <w:t>her</w:t>
      </w:r>
      <w:r w:rsidR="007B1E46">
        <w:rPr>
          <w:rFonts w:ascii="Acumin Pro Condensed" w:hAnsi="Acumin Pro Condensed"/>
          <w:color w:val="005493"/>
        </w:rPr>
        <w:t xml:space="preserve"> taxable brokerage account generating </w:t>
      </w:r>
      <w:r w:rsidRPr="00A15523">
        <w:rPr>
          <w:rFonts w:ascii="Acumin Pro Condensed" w:hAnsi="Acumin Pro Condensed"/>
          <w:color w:val="005493"/>
        </w:rPr>
        <w:t xml:space="preserve">six figures of annual </w:t>
      </w:r>
      <w:r w:rsidR="00C32087">
        <w:rPr>
          <w:rFonts w:ascii="Acumin Pro Condensed" w:hAnsi="Acumin Pro Condensed"/>
          <w:color w:val="005493"/>
        </w:rPr>
        <w:t xml:space="preserve">taxable </w:t>
      </w:r>
      <w:r w:rsidRPr="00A15523">
        <w:rPr>
          <w:rFonts w:ascii="Acumin Pro Condensed" w:hAnsi="Acumin Pro Condensed"/>
          <w:color w:val="005493"/>
        </w:rPr>
        <w:t>income</w:t>
      </w:r>
      <w:r w:rsidR="008937CB">
        <w:rPr>
          <w:rFonts w:ascii="Acumin Pro Condensed" w:hAnsi="Acumin Pro Condensed"/>
          <w:color w:val="005493"/>
        </w:rPr>
        <w:t>,</w:t>
      </w:r>
      <w:r w:rsidR="007B1E46">
        <w:rPr>
          <w:rFonts w:ascii="Acumin Pro Condensed" w:hAnsi="Acumin Pro Condensed"/>
          <w:color w:val="005493"/>
        </w:rPr>
        <w:t xml:space="preserve"> and in ETFs in her </w:t>
      </w:r>
      <w:r w:rsidR="00581128">
        <w:rPr>
          <w:rFonts w:ascii="Acumin Pro Condensed" w:hAnsi="Acumin Pro Condensed"/>
          <w:color w:val="005493"/>
        </w:rPr>
        <w:t xml:space="preserve">tax-deferred </w:t>
      </w:r>
      <w:r w:rsidR="007B1E46">
        <w:rPr>
          <w:rFonts w:ascii="Acumin Pro Condensed" w:hAnsi="Acumin Pro Condensed"/>
          <w:color w:val="005493"/>
        </w:rPr>
        <w:t>IRA</w:t>
      </w:r>
      <w:r w:rsidRPr="00A15523">
        <w:rPr>
          <w:rFonts w:ascii="Acumin Pro Condensed" w:hAnsi="Acumin Pro Condensed"/>
          <w:color w:val="005493"/>
        </w:rPr>
        <w:t xml:space="preserve">. </w:t>
      </w:r>
      <w:r w:rsidR="007B1E46">
        <w:rPr>
          <w:rFonts w:ascii="Acumin Pro Condensed" w:hAnsi="Acumin Pro Condensed"/>
          <w:color w:val="005493"/>
        </w:rPr>
        <w:t xml:space="preserve">We suggested that going forward, she continue building her private equity fund position in the IRA and the ETFs in the taxable brokerage account given their capital gains tax-deferred status (regardless of account type). </w:t>
      </w:r>
      <w:r w:rsidRPr="00A15523">
        <w:rPr>
          <w:rFonts w:ascii="Acumin Pro Condensed" w:hAnsi="Acumin Pro Condensed"/>
          <w:color w:val="005493"/>
        </w:rPr>
        <w:t>The result wasn’t a more aggressive portfolio</w:t>
      </w:r>
      <w:r w:rsidR="008937CB">
        <w:rPr>
          <w:rFonts w:ascii="Acumin Pro Condensed" w:hAnsi="Acumin Pro Condensed"/>
          <w:color w:val="005493"/>
        </w:rPr>
        <w:t>;</w:t>
      </w:r>
      <w:r w:rsidRPr="00A15523">
        <w:rPr>
          <w:rFonts w:ascii="Acumin Pro Condensed" w:hAnsi="Acumin Pro Condensed"/>
          <w:color w:val="005493"/>
        </w:rPr>
        <w:t xml:space="preserve"> it was simply smarter placement t</w:t>
      </w:r>
      <w:r w:rsidR="007B5CC2">
        <w:rPr>
          <w:rFonts w:ascii="Acumin Pro Condensed" w:hAnsi="Acumin Pro Condensed"/>
          <w:color w:val="005493"/>
        </w:rPr>
        <w:t>o plug</w:t>
      </w:r>
      <w:r w:rsidR="0093512A">
        <w:rPr>
          <w:rFonts w:ascii="Acumin Pro Condensed" w:hAnsi="Acumin Pro Condensed"/>
          <w:color w:val="005493"/>
        </w:rPr>
        <w:t xml:space="preserve"> her</w:t>
      </w:r>
      <w:r w:rsidR="007B5CC2">
        <w:rPr>
          <w:rFonts w:ascii="Acumin Pro Condensed" w:hAnsi="Acumin Pro Condensed"/>
          <w:color w:val="005493"/>
        </w:rPr>
        <w:t xml:space="preserve"> tax leak and let </w:t>
      </w:r>
      <w:r w:rsidRPr="00A15523">
        <w:rPr>
          <w:rFonts w:ascii="Acumin Pro Condensed" w:hAnsi="Acumin Pro Condensed"/>
          <w:color w:val="005493"/>
        </w:rPr>
        <w:t xml:space="preserve">compounding work </w:t>
      </w:r>
      <w:r w:rsidR="00CC4067">
        <w:rPr>
          <w:rFonts w:ascii="Acumin Pro Condensed" w:hAnsi="Acumin Pro Condensed"/>
          <w:color w:val="005493"/>
        </w:rPr>
        <w:t>more efficiently</w:t>
      </w:r>
      <w:r w:rsidR="007B1E46">
        <w:rPr>
          <w:rFonts w:ascii="Acumin Pro Condensed" w:hAnsi="Acumin Pro Condensed"/>
          <w:color w:val="005493"/>
        </w:rPr>
        <w:t xml:space="preserve">. </w:t>
      </w:r>
    </w:p>
    <w:p w14:paraId="39079269" w14:textId="77777777" w:rsidR="00A15523" w:rsidRPr="00A15523" w:rsidRDefault="00A15523" w:rsidP="00A15523">
      <w:pPr>
        <w:rPr>
          <w:rFonts w:ascii="Acumin Pro Condensed" w:hAnsi="Acumin Pro Condensed"/>
          <w:color w:val="005493"/>
        </w:rPr>
      </w:pPr>
    </w:p>
    <w:p w14:paraId="7D772356" w14:textId="1267E497" w:rsidR="00A15523" w:rsidRPr="00A15523" w:rsidRDefault="008937CB" w:rsidP="00A15523">
      <w:pPr>
        <w:rPr>
          <w:rFonts w:ascii="Acumin Pro Condensed" w:hAnsi="Acumin Pro Condensed"/>
          <w:color w:val="005493"/>
        </w:rPr>
      </w:pPr>
      <w:r>
        <w:rPr>
          <w:rFonts w:ascii="Acumin Pro Condensed" w:hAnsi="Acumin Pro Condensed"/>
          <w:color w:val="005493"/>
        </w:rPr>
        <w:t>Bottom line:</w:t>
      </w:r>
      <w:r w:rsidR="00A15523" w:rsidRPr="00A15523">
        <w:rPr>
          <w:rFonts w:ascii="Acumin Pro Condensed" w:hAnsi="Acumin Pro Condensed"/>
          <w:color w:val="005493"/>
        </w:rPr>
        <w:t xml:space="preserve"> Aligning asset type with account type is how high earners keep more of what they’ve already worked to build.</w:t>
      </w:r>
    </w:p>
    <w:p w14:paraId="5A399989" w14:textId="77777777" w:rsidR="00663EFD" w:rsidRDefault="00663EFD" w:rsidP="008937CB">
      <w:pPr>
        <w:rPr>
          <w:rFonts w:ascii="Acumin Pro Condensed" w:hAnsi="Acumin Pro Condensed"/>
          <w:color w:val="005493"/>
        </w:rPr>
      </w:pPr>
    </w:p>
    <w:p w14:paraId="10561979" w14:textId="220C3624" w:rsidR="00663EFD" w:rsidRPr="00663EFD" w:rsidRDefault="00663EFD" w:rsidP="00663EFD">
      <w:pPr>
        <w:pStyle w:val="ListParagraph"/>
        <w:numPr>
          <w:ilvl w:val="0"/>
          <w:numId w:val="2"/>
        </w:numPr>
        <w:rPr>
          <w:rFonts w:ascii="Acumin Pro Condensed" w:hAnsi="Acumin Pro Condensed"/>
          <w:b/>
          <w:bCs/>
          <w:color w:val="005493"/>
        </w:rPr>
      </w:pPr>
      <w:r w:rsidRPr="00663EFD">
        <w:rPr>
          <w:rFonts w:ascii="Acumin Pro Condensed" w:hAnsi="Acumin Pro Condensed"/>
          <w:b/>
          <w:bCs/>
          <w:color w:val="005493"/>
        </w:rPr>
        <w:t>Smarter Planning with Azura</w:t>
      </w:r>
    </w:p>
    <w:p w14:paraId="521BF73F" w14:textId="77777777" w:rsidR="00663EFD" w:rsidRPr="00663EFD" w:rsidRDefault="00663EFD" w:rsidP="00663EFD">
      <w:pPr>
        <w:rPr>
          <w:rFonts w:ascii="Acumin Pro Condensed" w:hAnsi="Acumin Pro Condensed"/>
          <w:b/>
          <w:bCs/>
          <w:color w:val="005493"/>
        </w:rPr>
      </w:pPr>
    </w:p>
    <w:p w14:paraId="15E8FFE2" w14:textId="3087332B" w:rsidR="00663EFD" w:rsidRPr="00663EFD" w:rsidRDefault="00663EFD" w:rsidP="00663EFD">
      <w:pPr>
        <w:rPr>
          <w:rFonts w:ascii="Acumin Pro Condensed" w:hAnsi="Acumin Pro Condensed"/>
          <w:color w:val="005493"/>
        </w:rPr>
      </w:pPr>
      <w:r w:rsidRPr="00663EFD">
        <w:rPr>
          <w:rFonts w:ascii="Acumin Pro Condensed" w:hAnsi="Acumin Pro Condensed"/>
          <w:color w:val="005493"/>
        </w:rPr>
        <w:t xml:space="preserve">Tax drag doesn’t show up </w:t>
      </w:r>
      <w:r>
        <w:rPr>
          <w:rFonts w:ascii="Acumin Pro Condensed" w:hAnsi="Acumin Pro Condensed"/>
          <w:color w:val="005493"/>
        </w:rPr>
        <w:t>in the</w:t>
      </w:r>
      <w:r w:rsidRPr="00663EFD">
        <w:rPr>
          <w:rFonts w:ascii="Acumin Pro Condensed" w:hAnsi="Acumin Pro Condensed"/>
          <w:color w:val="005493"/>
        </w:rPr>
        <w:t xml:space="preserve"> headlines, but over time it can be one of the most damaging forces working against compounding. </w:t>
      </w:r>
      <w:r w:rsidR="003B7189">
        <w:rPr>
          <w:rFonts w:ascii="Acumin Pro Condensed" w:hAnsi="Acumin Pro Condensed"/>
          <w:color w:val="005493"/>
        </w:rPr>
        <w:t xml:space="preserve">The more wealth you accumulate, the </w:t>
      </w:r>
      <w:r w:rsidR="00AC3FBC">
        <w:rPr>
          <w:rFonts w:ascii="Acumin Pro Condensed" w:hAnsi="Acumin Pro Condensed"/>
          <w:color w:val="005493"/>
        </w:rPr>
        <w:t>larger</w:t>
      </w:r>
      <w:r w:rsidR="003B7189">
        <w:rPr>
          <w:rFonts w:ascii="Acumin Pro Condensed" w:hAnsi="Acumin Pro Condensed"/>
          <w:color w:val="005493"/>
        </w:rPr>
        <w:t xml:space="preserve"> your tax liability can become. </w:t>
      </w:r>
      <w:r w:rsidRPr="00663EFD">
        <w:rPr>
          <w:rFonts w:ascii="Acumin Pro Condensed" w:hAnsi="Acumin Pro Condensed"/>
          <w:color w:val="005493"/>
        </w:rPr>
        <w:t>The good news is that it’s manageable</w:t>
      </w:r>
      <w:r>
        <w:rPr>
          <w:rFonts w:ascii="Acumin Pro Condensed" w:hAnsi="Acumin Pro Condensed"/>
          <w:color w:val="005493"/>
        </w:rPr>
        <w:t>;</w:t>
      </w:r>
      <w:r w:rsidRPr="00663EFD">
        <w:rPr>
          <w:rFonts w:ascii="Acumin Pro Condensed" w:hAnsi="Acumin Pro Condensed"/>
          <w:color w:val="005493"/>
        </w:rPr>
        <w:t xml:space="preserve"> with the right structure, you can keep more of what you earn and let time do its work.</w:t>
      </w:r>
    </w:p>
    <w:p w14:paraId="26AD4C55" w14:textId="77777777" w:rsidR="00663EFD" w:rsidRPr="00663EFD" w:rsidRDefault="00663EFD" w:rsidP="00663EFD">
      <w:pPr>
        <w:rPr>
          <w:rFonts w:ascii="Acumin Pro Condensed" w:hAnsi="Acumin Pro Condensed"/>
          <w:color w:val="005493"/>
        </w:rPr>
      </w:pPr>
    </w:p>
    <w:p w14:paraId="55B55537" w14:textId="77777777" w:rsidR="00663EFD" w:rsidRDefault="00663EFD" w:rsidP="00663EFD">
      <w:pPr>
        <w:rPr>
          <w:rFonts w:ascii="Acumin Pro Condensed" w:hAnsi="Acumin Pro Condensed"/>
          <w:color w:val="005493"/>
        </w:rPr>
      </w:pPr>
      <w:r w:rsidRPr="00663EFD">
        <w:rPr>
          <w:rFonts w:ascii="Acumin Pro Condensed" w:hAnsi="Acumin Pro Condensed"/>
          <w:color w:val="005493"/>
        </w:rPr>
        <w:t>At Azura, we help clients:</w:t>
      </w:r>
    </w:p>
    <w:p w14:paraId="7C575905" w14:textId="77777777" w:rsidR="00663EFD" w:rsidRDefault="00663EFD" w:rsidP="00663EFD">
      <w:pPr>
        <w:pStyle w:val="ListParagraph"/>
        <w:numPr>
          <w:ilvl w:val="0"/>
          <w:numId w:val="5"/>
        </w:numPr>
        <w:rPr>
          <w:rFonts w:ascii="Acumin Pro Condensed" w:hAnsi="Acumin Pro Condensed"/>
          <w:color w:val="005493"/>
        </w:rPr>
      </w:pPr>
      <w:r w:rsidRPr="00663EFD">
        <w:rPr>
          <w:rFonts w:ascii="Acumin Pro Condensed" w:hAnsi="Acumin Pro Condensed"/>
          <w:color w:val="005493"/>
        </w:rPr>
        <w:t>Quantify potential tax drag and identify inefficiencies.</w:t>
      </w:r>
    </w:p>
    <w:p w14:paraId="1746C60B" w14:textId="77777777" w:rsidR="00663EFD" w:rsidRDefault="00663EFD" w:rsidP="00663EFD">
      <w:pPr>
        <w:pStyle w:val="ListParagraph"/>
        <w:numPr>
          <w:ilvl w:val="0"/>
          <w:numId w:val="5"/>
        </w:numPr>
        <w:rPr>
          <w:rFonts w:ascii="Acumin Pro Condensed" w:hAnsi="Acumin Pro Condensed"/>
          <w:color w:val="005493"/>
        </w:rPr>
      </w:pPr>
      <w:r w:rsidRPr="00663EFD">
        <w:rPr>
          <w:rFonts w:ascii="Acumin Pro Condensed" w:hAnsi="Acumin Pro Condensed"/>
          <w:color w:val="005493"/>
        </w:rPr>
        <w:t>Match investment types to the right account structures.</w:t>
      </w:r>
    </w:p>
    <w:p w14:paraId="122AA5B6" w14:textId="1A547400" w:rsidR="00663EFD" w:rsidRPr="00663EFD" w:rsidRDefault="00663EFD" w:rsidP="00663EFD">
      <w:pPr>
        <w:pStyle w:val="ListParagraph"/>
        <w:numPr>
          <w:ilvl w:val="0"/>
          <w:numId w:val="5"/>
        </w:numPr>
        <w:rPr>
          <w:rFonts w:ascii="Acumin Pro Condensed" w:hAnsi="Acumin Pro Condensed"/>
          <w:color w:val="005493"/>
        </w:rPr>
      </w:pPr>
      <w:r w:rsidRPr="00663EFD">
        <w:rPr>
          <w:rFonts w:ascii="Acumin Pro Condensed" w:hAnsi="Acumin Pro Condensed"/>
          <w:color w:val="005493"/>
        </w:rPr>
        <w:lastRenderedPageBreak/>
        <w:t xml:space="preserve">Avoid common traps like </w:t>
      </w:r>
      <w:r w:rsidR="00F64EC7">
        <w:rPr>
          <w:rFonts w:ascii="Acumin Pro Condensed" w:hAnsi="Acumin Pro Condensed"/>
          <w:color w:val="005493"/>
        </w:rPr>
        <w:t>selling stocks and triggering tax when, instead, they might more efficiently draw a line of credit against the portfolio on a non-taxable basis (also allowing the investments to continue growing uninterrupted</w:t>
      </w:r>
      <w:r w:rsidR="00F161F4">
        <w:rPr>
          <w:rFonts w:ascii="Acumin Pro Condensed" w:hAnsi="Acumin Pro Condensed"/>
          <w:color w:val="005493"/>
        </w:rPr>
        <w:t>,</w:t>
      </w:r>
      <w:r w:rsidR="00F64EC7">
        <w:rPr>
          <w:rFonts w:ascii="Acumin Pro Condensed" w:hAnsi="Acumin Pro Condensed"/>
          <w:color w:val="005493"/>
        </w:rPr>
        <w:t xml:space="preserve"> and offsetting taxable qualified dividend income with loan interest). </w:t>
      </w:r>
    </w:p>
    <w:p w14:paraId="391AC000" w14:textId="251C4EA1" w:rsidR="00F64EC7" w:rsidRPr="00F64EC7" w:rsidRDefault="00663EFD" w:rsidP="00F64EC7">
      <w:pPr>
        <w:pStyle w:val="ListParagraph"/>
        <w:numPr>
          <w:ilvl w:val="0"/>
          <w:numId w:val="5"/>
        </w:numPr>
        <w:rPr>
          <w:rFonts w:ascii="Acumin Pro Condensed" w:hAnsi="Acumin Pro Condensed"/>
          <w:color w:val="005493"/>
        </w:rPr>
      </w:pPr>
      <w:r w:rsidRPr="00663EFD">
        <w:rPr>
          <w:rFonts w:ascii="Acumin Pro Condensed" w:hAnsi="Acumin Pro Condensed"/>
          <w:color w:val="005493"/>
        </w:rPr>
        <w:t>Leverage tax-efficient tools such as low-turnover ETFs, direct indexing and disciplined tax-loss harvesting.</w:t>
      </w:r>
    </w:p>
    <w:p w14:paraId="310B8E7D" w14:textId="77777777" w:rsidR="00663EFD" w:rsidRPr="00663EFD" w:rsidRDefault="00663EFD" w:rsidP="00663EFD">
      <w:pPr>
        <w:rPr>
          <w:rFonts w:ascii="Acumin Pro Condensed" w:hAnsi="Acumin Pro Condensed"/>
          <w:color w:val="005493"/>
        </w:rPr>
      </w:pPr>
    </w:p>
    <w:p w14:paraId="71AA0FE1" w14:textId="4DFD6173" w:rsidR="00663EFD" w:rsidRPr="008937CB" w:rsidRDefault="00663EFD" w:rsidP="00663EFD">
      <w:pPr>
        <w:rPr>
          <w:rFonts w:ascii="Acumin Pro Condensed" w:hAnsi="Acumin Pro Condensed"/>
          <w:color w:val="005493"/>
        </w:rPr>
      </w:pPr>
      <w:r>
        <w:rPr>
          <w:rFonts w:ascii="Acumin Pro Condensed" w:hAnsi="Acumin Pro Condensed"/>
          <w:color w:val="005493"/>
        </w:rPr>
        <w:t xml:space="preserve">Our goal is to build plans for our clients where </w:t>
      </w:r>
      <w:r w:rsidRPr="00663EFD">
        <w:rPr>
          <w:rFonts w:ascii="Acumin Pro Condensed" w:hAnsi="Acumin Pro Condensed"/>
          <w:color w:val="005493"/>
        </w:rPr>
        <w:t xml:space="preserve">taxes don’t quietly erode the wealth </w:t>
      </w:r>
      <w:r>
        <w:rPr>
          <w:rFonts w:ascii="Acumin Pro Condensed" w:hAnsi="Acumin Pro Condensed"/>
          <w:color w:val="005493"/>
        </w:rPr>
        <w:t>they</w:t>
      </w:r>
      <w:r w:rsidRPr="00663EFD">
        <w:rPr>
          <w:rFonts w:ascii="Acumin Pro Condensed" w:hAnsi="Acumin Pro Condensed"/>
          <w:color w:val="005493"/>
        </w:rPr>
        <w:t xml:space="preserve">’ve worked to build. With the right approach, you </w:t>
      </w:r>
      <w:r>
        <w:rPr>
          <w:rFonts w:ascii="Acumin Pro Condensed" w:hAnsi="Acumin Pro Condensed"/>
          <w:color w:val="005493"/>
        </w:rPr>
        <w:t xml:space="preserve">can </w:t>
      </w:r>
      <w:r w:rsidRPr="00663EFD">
        <w:rPr>
          <w:rFonts w:ascii="Acumin Pro Condensed" w:hAnsi="Acumin Pro Condensed"/>
          <w:color w:val="005493"/>
        </w:rPr>
        <w:t>preserve more growth, protect your compounding engine</w:t>
      </w:r>
      <w:r w:rsidR="004C5BE0">
        <w:rPr>
          <w:rFonts w:ascii="Acumin Pro Condensed" w:hAnsi="Acumin Pro Condensed"/>
          <w:color w:val="005493"/>
        </w:rPr>
        <w:t xml:space="preserve"> </w:t>
      </w:r>
      <w:r w:rsidRPr="00663EFD">
        <w:rPr>
          <w:rFonts w:ascii="Acumin Pro Condensed" w:hAnsi="Acumin Pro Condensed"/>
          <w:color w:val="005493"/>
        </w:rPr>
        <w:t>and create a framework for sustainable wealth.</w:t>
      </w:r>
      <w:r>
        <w:rPr>
          <w:rFonts w:ascii="Acumin Pro Condensed" w:hAnsi="Acumin Pro Condensed"/>
          <w:color w:val="005493"/>
        </w:rPr>
        <w:t xml:space="preserve"> </w:t>
      </w:r>
      <w:r w:rsidRPr="00663EFD">
        <w:rPr>
          <w:rFonts w:ascii="Acumin Pro Condensed" w:hAnsi="Acumin Pro Condensed"/>
          <w:color w:val="005493"/>
        </w:rPr>
        <w:t>If you’re ready to stress test your current structure or design one with tax efficiency at its core, Azura can help you move from good intentions to better results.</w:t>
      </w:r>
    </w:p>
    <w:sectPr w:rsidR="00663EFD" w:rsidRPr="008937CB" w:rsidSect="00B2044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8949D" w14:textId="77777777" w:rsidR="00E84A5B" w:rsidRDefault="00E84A5B" w:rsidP="00B20447">
      <w:r>
        <w:separator/>
      </w:r>
    </w:p>
  </w:endnote>
  <w:endnote w:type="continuationSeparator" w:id="0">
    <w:p w14:paraId="05C28887" w14:textId="77777777" w:rsidR="00E84A5B" w:rsidRDefault="00E84A5B" w:rsidP="00B2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rts Mill Goudy">
    <w:altName w:val="Calibri"/>
    <w:charset w:val="00"/>
    <w:family w:val="auto"/>
    <w:pitch w:val="variable"/>
    <w:sig w:usb0="8000006F" w:usb1="00000042" w:usb2="00000000" w:usb3="00000000" w:csb0="00000093" w:csb1="00000000"/>
  </w:font>
  <w:font w:name="Acumin Pro Condensed">
    <w:altName w:val="Calibri"/>
    <w:panose1 w:val="00000000000000000000"/>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E7ADD" w14:textId="77777777" w:rsidR="009A39A6" w:rsidRDefault="009A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54626" w14:textId="77777777" w:rsidR="00B20447" w:rsidRPr="00B20447" w:rsidRDefault="00B20447" w:rsidP="00B20447">
    <w:pPr>
      <w:pStyle w:val="Footer"/>
      <w:jc w:val="center"/>
      <w:rPr>
        <w:rFonts w:ascii="Sorts Mill Goudy" w:hAnsi="Sorts Mill Goudy"/>
        <w:color w:val="005493"/>
        <w:sz w:val="18"/>
        <w:szCs w:val="18"/>
      </w:rPr>
    </w:pPr>
    <w:r w:rsidRPr="00B20447">
      <w:rPr>
        <w:rFonts w:ascii="Sorts Mill Goudy" w:hAnsi="Sorts Mill Goudy"/>
        <w:color w:val="005493"/>
        <w:sz w:val="18"/>
        <w:szCs w:val="18"/>
      </w:rPr>
      <w:t>SECURITIES AND INVESTMENT ADVISORY SERVICES ARE OFFERED THROUGH QUALIFIED REGISTERED REPRESENTATIVES OF MML INVESTORS SERVICES, LLC, MEMBER SIPC.</w:t>
    </w:r>
  </w:p>
  <w:p w14:paraId="6FA0D3F4" w14:textId="77777777" w:rsidR="00B20447" w:rsidRPr="00B20447" w:rsidRDefault="00B20447" w:rsidP="00B13FB9">
    <w:pPr>
      <w:pStyle w:val="Footer"/>
      <w:jc w:val="center"/>
      <w:rPr>
        <w:rFonts w:ascii="Sorts Mill Goudy" w:hAnsi="Sorts Mill Goudy"/>
        <w:color w:val="005493"/>
        <w:sz w:val="18"/>
        <w:szCs w:val="18"/>
      </w:rPr>
    </w:pPr>
    <w:r w:rsidRPr="00B20447">
      <w:rPr>
        <w:rFonts w:ascii="Sorts Mill Goudy" w:hAnsi="Sorts Mill Goudy"/>
        <w:color w:val="005493"/>
        <w:sz w:val="18"/>
        <w:szCs w:val="18"/>
      </w:rPr>
      <w:t>Azura Wealth Advisers is not a subsidiary or affiliate of MML Investors Services, LLC, or its affiliated companies.</w:t>
    </w:r>
  </w:p>
  <w:p w14:paraId="07F021AB" w14:textId="7A56655E" w:rsidR="00B20447" w:rsidRPr="00B20447" w:rsidRDefault="00B20447" w:rsidP="00B13FB9">
    <w:pPr>
      <w:pStyle w:val="Footer"/>
      <w:jc w:val="center"/>
      <w:rPr>
        <w:rFonts w:ascii="Sorts Mill Goudy" w:hAnsi="Sorts Mill Goudy"/>
        <w:color w:val="005493"/>
        <w:sz w:val="18"/>
        <w:szCs w:val="18"/>
      </w:rPr>
    </w:pPr>
    <w:r w:rsidRPr="00B20447">
      <w:rPr>
        <w:rFonts w:ascii="Sorts Mill Goudy" w:hAnsi="Sorts Mill Goudy"/>
        <w:color w:val="005493"/>
        <w:sz w:val="18"/>
        <w:szCs w:val="18"/>
      </w:rPr>
      <w:t xml:space="preserve">420 Lexington Ave 25th Fl Suite 2510, New York, NY 10170 (212) 578-0300 | </w:t>
    </w:r>
    <w:r w:rsidR="006E5FCD" w:rsidRPr="006E5FCD">
      <w:rPr>
        <w:rFonts w:ascii="Sorts Mill Goudy" w:hAnsi="Sorts Mill Goudy"/>
        <w:color w:val="005493"/>
        <w:sz w:val="18"/>
        <w:szCs w:val="18"/>
      </w:rPr>
      <w:t>CRN202810-9572357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BA54" w14:textId="77777777" w:rsidR="009A39A6" w:rsidRDefault="009A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C8810" w14:textId="77777777" w:rsidR="00E84A5B" w:rsidRDefault="00E84A5B" w:rsidP="00B20447">
      <w:r>
        <w:separator/>
      </w:r>
    </w:p>
  </w:footnote>
  <w:footnote w:type="continuationSeparator" w:id="0">
    <w:p w14:paraId="3500DC7D" w14:textId="77777777" w:rsidR="00E84A5B" w:rsidRDefault="00E84A5B" w:rsidP="00B20447">
      <w:r>
        <w:continuationSeparator/>
      </w:r>
    </w:p>
  </w:footnote>
  <w:footnote w:id="1">
    <w:p w14:paraId="0F1532A5" w14:textId="732FF2A9" w:rsidR="00D82F6E" w:rsidRPr="00D82F6E" w:rsidRDefault="00D82F6E" w:rsidP="00D82F6E">
      <w:pPr>
        <w:rPr>
          <w:rFonts w:ascii="Acumin Pro Condensed" w:hAnsi="Acumin Pro Condensed"/>
          <w:color w:val="005493"/>
          <w:sz w:val="20"/>
          <w:szCs w:val="20"/>
        </w:rPr>
      </w:pPr>
      <w:r w:rsidRPr="00D82F6E">
        <w:rPr>
          <w:rStyle w:val="FootnoteReference"/>
          <w:sz w:val="20"/>
          <w:szCs w:val="20"/>
        </w:rPr>
        <w:footnoteRef/>
      </w:r>
      <w:r w:rsidRPr="00D82F6E">
        <w:rPr>
          <w:sz w:val="20"/>
          <w:szCs w:val="20"/>
        </w:rPr>
        <w:t xml:space="preserve"> </w:t>
      </w:r>
      <w:r>
        <w:rPr>
          <w:rFonts w:ascii="Acumin Pro Condensed" w:hAnsi="Acumin Pro Condensed"/>
          <w:color w:val="005493"/>
          <w:sz w:val="20"/>
          <w:szCs w:val="20"/>
        </w:rPr>
        <w:t xml:space="preserve">The order in which you withdraw your assets in retirement, known as sequencing, </w:t>
      </w:r>
      <w:r w:rsidRPr="00D82F6E">
        <w:rPr>
          <w:rFonts w:ascii="Acumin Pro Condensed" w:hAnsi="Acumin Pro Condensed"/>
          <w:color w:val="005493"/>
          <w:sz w:val="20"/>
          <w:szCs w:val="20"/>
        </w:rPr>
        <w:t xml:space="preserve">is critical </w:t>
      </w:r>
      <w:r>
        <w:rPr>
          <w:rFonts w:ascii="Acumin Pro Condensed" w:hAnsi="Acumin Pro Condensed"/>
          <w:color w:val="005493"/>
          <w:sz w:val="20"/>
          <w:szCs w:val="20"/>
        </w:rPr>
        <w:t xml:space="preserve">to maintaining longevity </w:t>
      </w:r>
      <w:r w:rsidRPr="00D82F6E">
        <w:rPr>
          <w:rFonts w:ascii="Acumin Pro Condensed" w:hAnsi="Acumin Pro Condensed"/>
          <w:color w:val="005493"/>
          <w:sz w:val="20"/>
          <w:szCs w:val="20"/>
        </w:rPr>
        <w:t>in your retirement years. If you’re interested in learning more about distribution, ask your Azura advisor for our article on the topic.</w:t>
      </w:r>
    </w:p>
    <w:p w14:paraId="77F6B39B" w14:textId="3B448E20" w:rsidR="00D82F6E" w:rsidRDefault="00D82F6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434C3" w14:textId="77777777" w:rsidR="009A39A6" w:rsidRDefault="009A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CD5C" w14:textId="77777777" w:rsidR="00B20447" w:rsidRDefault="00B20447">
    <w:pPr>
      <w:pStyle w:val="Header"/>
    </w:pPr>
    <w:r>
      <w:rPr>
        <w:noProof/>
      </w:rPr>
      <w:drawing>
        <wp:inline distT="0" distB="0" distL="0" distR="0" wp14:anchorId="6E90C0B0" wp14:editId="423D1906">
          <wp:extent cx="1412033" cy="555460"/>
          <wp:effectExtent l="0" t="0" r="0" b="3810"/>
          <wp:docPr id="1103510088"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10088"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84872" cy="5841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69A4" w14:textId="77777777" w:rsidR="009A39A6" w:rsidRDefault="009A3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544A2"/>
    <w:multiLevelType w:val="hybridMultilevel"/>
    <w:tmpl w:val="70B8D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A96D59"/>
    <w:multiLevelType w:val="hybridMultilevel"/>
    <w:tmpl w:val="5BBE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2C75CE"/>
    <w:multiLevelType w:val="hybridMultilevel"/>
    <w:tmpl w:val="7C5A2C10"/>
    <w:lvl w:ilvl="0" w:tplc="150A6F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AD6587"/>
    <w:multiLevelType w:val="hybridMultilevel"/>
    <w:tmpl w:val="73864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A06E66"/>
    <w:multiLevelType w:val="hybridMultilevel"/>
    <w:tmpl w:val="004A666A"/>
    <w:lvl w:ilvl="0" w:tplc="4E9044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356002">
    <w:abstractNumId w:val="4"/>
  </w:num>
  <w:num w:numId="2" w16cid:durableId="508562088">
    <w:abstractNumId w:val="2"/>
  </w:num>
  <w:num w:numId="3" w16cid:durableId="1817330572">
    <w:abstractNumId w:val="1"/>
  </w:num>
  <w:num w:numId="4" w16cid:durableId="1110319535">
    <w:abstractNumId w:val="3"/>
  </w:num>
  <w:num w:numId="5" w16cid:durableId="155977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23"/>
    <w:rsid w:val="00027AFE"/>
    <w:rsid w:val="001321AF"/>
    <w:rsid w:val="002C347A"/>
    <w:rsid w:val="002E7697"/>
    <w:rsid w:val="00304417"/>
    <w:rsid w:val="00304606"/>
    <w:rsid w:val="003B7189"/>
    <w:rsid w:val="00411E41"/>
    <w:rsid w:val="00467738"/>
    <w:rsid w:val="004A6FA5"/>
    <w:rsid w:val="004C5BE0"/>
    <w:rsid w:val="00504C21"/>
    <w:rsid w:val="00581128"/>
    <w:rsid w:val="00590922"/>
    <w:rsid w:val="00621093"/>
    <w:rsid w:val="006414F9"/>
    <w:rsid w:val="00663EFD"/>
    <w:rsid w:val="0068482D"/>
    <w:rsid w:val="006A2CD2"/>
    <w:rsid w:val="006E5FCD"/>
    <w:rsid w:val="007B1E46"/>
    <w:rsid w:val="007B5CC2"/>
    <w:rsid w:val="007C3086"/>
    <w:rsid w:val="007F1D7C"/>
    <w:rsid w:val="0084122E"/>
    <w:rsid w:val="008937CB"/>
    <w:rsid w:val="008D4E37"/>
    <w:rsid w:val="0093512A"/>
    <w:rsid w:val="009A39A6"/>
    <w:rsid w:val="009C0FBE"/>
    <w:rsid w:val="009C10BA"/>
    <w:rsid w:val="00A15523"/>
    <w:rsid w:val="00A179B6"/>
    <w:rsid w:val="00A34331"/>
    <w:rsid w:val="00A86F0A"/>
    <w:rsid w:val="00AC3FBC"/>
    <w:rsid w:val="00B13FB9"/>
    <w:rsid w:val="00B20447"/>
    <w:rsid w:val="00B8577E"/>
    <w:rsid w:val="00C06023"/>
    <w:rsid w:val="00C32087"/>
    <w:rsid w:val="00C54F75"/>
    <w:rsid w:val="00C64F24"/>
    <w:rsid w:val="00C67614"/>
    <w:rsid w:val="00CC4067"/>
    <w:rsid w:val="00CE4522"/>
    <w:rsid w:val="00D46A90"/>
    <w:rsid w:val="00D82F6E"/>
    <w:rsid w:val="00DA5E8A"/>
    <w:rsid w:val="00DE05F9"/>
    <w:rsid w:val="00DE0CC7"/>
    <w:rsid w:val="00E56D42"/>
    <w:rsid w:val="00E84A5B"/>
    <w:rsid w:val="00F161F4"/>
    <w:rsid w:val="00F30DD6"/>
    <w:rsid w:val="00F46FA6"/>
    <w:rsid w:val="00F542D7"/>
    <w:rsid w:val="00F64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81187"/>
  <w15:chartTrackingRefBased/>
  <w15:docId w15:val="{E12FBE60-A348-8E41-9DF1-A2580803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4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4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4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4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4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4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4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447"/>
    <w:rPr>
      <w:rFonts w:eastAsiaTheme="majorEastAsia" w:cstheme="majorBidi"/>
      <w:color w:val="272727" w:themeColor="text1" w:themeTint="D8"/>
    </w:rPr>
  </w:style>
  <w:style w:type="paragraph" w:styleId="Title">
    <w:name w:val="Title"/>
    <w:basedOn w:val="Normal"/>
    <w:next w:val="Normal"/>
    <w:link w:val="TitleChar"/>
    <w:uiPriority w:val="10"/>
    <w:qFormat/>
    <w:rsid w:val="00B204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4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4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0447"/>
    <w:rPr>
      <w:i/>
      <w:iCs/>
      <w:color w:val="404040" w:themeColor="text1" w:themeTint="BF"/>
    </w:rPr>
  </w:style>
  <w:style w:type="paragraph" w:styleId="ListParagraph">
    <w:name w:val="List Paragraph"/>
    <w:basedOn w:val="Normal"/>
    <w:uiPriority w:val="34"/>
    <w:qFormat/>
    <w:rsid w:val="00B20447"/>
    <w:pPr>
      <w:ind w:left="720"/>
      <w:contextualSpacing/>
    </w:pPr>
  </w:style>
  <w:style w:type="character" w:styleId="IntenseEmphasis">
    <w:name w:val="Intense Emphasis"/>
    <w:basedOn w:val="DefaultParagraphFont"/>
    <w:uiPriority w:val="21"/>
    <w:qFormat/>
    <w:rsid w:val="00B20447"/>
    <w:rPr>
      <w:i/>
      <w:iCs/>
      <w:color w:val="0F4761" w:themeColor="accent1" w:themeShade="BF"/>
    </w:rPr>
  </w:style>
  <w:style w:type="paragraph" w:styleId="IntenseQuote">
    <w:name w:val="Intense Quote"/>
    <w:basedOn w:val="Normal"/>
    <w:next w:val="Normal"/>
    <w:link w:val="IntenseQuoteChar"/>
    <w:uiPriority w:val="30"/>
    <w:qFormat/>
    <w:rsid w:val="00B20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447"/>
    <w:rPr>
      <w:i/>
      <w:iCs/>
      <w:color w:val="0F4761" w:themeColor="accent1" w:themeShade="BF"/>
    </w:rPr>
  </w:style>
  <w:style w:type="character" w:styleId="IntenseReference">
    <w:name w:val="Intense Reference"/>
    <w:basedOn w:val="DefaultParagraphFont"/>
    <w:uiPriority w:val="32"/>
    <w:qFormat/>
    <w:rsid w:val="00B20447"/>
    <w:rPr>
      <w:b/>
      <w:bCs/>
      <w:smallCaps/>
      <w:color w:val="0F4761" w:themeColor="accent1" w:themeShade="BF"/>
      <w:spacing w:val="5"/>
    </w:rPr>
  </w:style>
  <w:style w:type="paragraph" w:styleId="Header">
    <w:name w:val="header"/>
    <w:basedOn w:val="Normal"/>
    <w:link w:val="HeaderChar"/>
    <w:uiPriority w:val="99"/>
    <w:unhideWhenUsed/>
    <w:rsid w:val="00B20447"/>
    <w:pPr>
      <w:tabs>
        <w:tab w:val="center" w:pos="4680"/>
        <w:tab w:val="right" w:pos="9360"/>
      </w:tabs>
    </w:pPr>
  </w:style>
  <w:style w:type="character" w:customStyle="1" w:styleId="HeaderChar">
    <w:name w:val="Header Char"/>
    <w:basedOn w:val="DefaultParagraphFont"/>
    <w:link w:val="Header"/>
    <w:uiPriority w:val="99"/>
    <w:rsid w:val="00B20447"/>
  </w:style>
  <w:style w:type="paragraph" w:styleId="Footer">
    <w:name w:val="footer"/>
    <w:basedOn w:val="Normal"/>
    <w:link w:val="FooterChar"/>
    <w:uiPriority w:val="99"/>
    <w:unhideWhenUsed/>
    <w:rsid w:val="00B20447"/>
    <w:pPr>
      <w:tabs>
        <w:tab w:val="center" w:pos="4680"/>
        <w:tab w:val="right" w:pos="9360"/>
      </w:tabs>
    </w:pPr>
  </w:style>
  <w:style w:type="character" w:customStyle="1" w:styleId="FooterChar">
    <w:name w:val="Footer Char"/>
    <w:basedOn w:val="DefaultParagraphFont"/>
    <w:link w:val="Footer"/>
    <w:uiPriority w:val="99"/>
    <w:rsid w:val="00B20447"/>
  </w:style>
  <w:style w:type="character" w:styleId="Hyperlink">
    <w:name w:val="Hyperlink"/>
    <w:basedOn w:val="DefaultParagraphFont"/>
    <w:uiPriority w:val="99"/>
    <w:unhideWhenUsed/>
    <w:rsid w:val="00B20447"/>
    <w:rPr>
      <w:color w:val="467886" w:themeColor="hyperlink"/>
      <w:u w:val="single"/>
    </w:rPr>
  </w:style>
  <w:style w:type="character" w:styleId="UnresolvedMention">
    <w:name w:val="Unresolved Mention"/>
    <w:basedOn w:val="DefaultParagraphFont"/>
    <w:uiPriority w:val="99"/>
    <w:semiHidden/>
    <w:unhideWhenUsed/>
    <w:rsid w:val="00B20447"/>
    <w:rPr>
      <w:color w:val="605E5C"/>
      <w:shd w:val="clear" w:color="auto" w:fill="E1DFDD"/>
    </w:rPr>
  </w:style>
  <w:style w:type="paragraph" w:styleId="FootnoteText">
    <w:name w:val="footnote text"/>
    <w:basedOn w:val="Normal"/>
    <w:link w:val="FootnoteTextChar"/>
    <w:uiPriority w:val="99"/>
    <w:semiHidden/>
    <w:unhideWhenUsed/>
    <w:rsid w:val="00D82F6E"/>
    <w:rPr>
      <w:sz w:val="20"/>
      <w:szCs w:val="20"/>
    </w:rPr>
  </w:style>
  <w:style w:type="character" w:customStyle="1" w:styleId="FootnoteTextChar">
    <w:name w:val="Footnote Text Char"/>
    <w:basedOn w:val="DefaultParagraphFont"/>
    <w:link w:val="FootnoteText"/>
    <w:uiPriority w:val="99"/>
    <w:semiHidden/>
    <w:rsid w:val="00D82F6E"/>
    <w:rPr>
      <w:sz w:val="20"/>
      <w:szCs w:val="20"/>
    </w:rPr>
  </w:style>
  <w:style w:type="character" w:styleId="FootnoteReference">
    <w:name w:val="footnote reference"/>
    <w:basedOn w:val="DefaultParagraphFont"/>
    <w:uiPriority w:val="99"/>
    <w:semiHidden/>
    <w:unhideWhenUsed/>
    <w:rsid w:val="00D82F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191868">
      <w:bodyDiv w:val="1"/>
      <w:marLeft w:val="0"/>
      <w:marRight w:val="0"/>
      <w:marTop w:val="0"/>
      <w:marBottom w:val="0"/>
      <w:divBdr>
        <w:top w:val="none" w:sz="0" w:space="0" w:color="auto"/>
        <w:left w:val="none" w:sz="0" w:space="0" w:color="auto"/>
        <w:bottom w:val="none" w:sz="0" w:space="0" w:color="auto"/>
        <w:right w:val="none" w:sz="0" w:space="0" w:color="auto"/>
      </w:divBdr>
    </w:div>
    <w:div w:id="120829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E3C2F-CB39-F942-ADEA-B60CBA61C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Shireen Hilal</dc:creator>
  <cp:keywords/>
  <dc:description/>
  <cp:lastModifiedBy>Mannetti, Amelia</cp:lastModifiedBy>
  <cp:revision>5</cp:revision>
  <cp:lastPrinted>2025-09-30T14:14:00Z</cp:lastPrinted>
  <dcterms:created xsi:type="dcterms:W3CDTF">2025-09-30T19:57:00Z</dcterms:created>
  <dcterms:modified xsi:type="dcterms:W3CDTF">2025-10-06T19:25:00Z</dcterms:modified>
</cp:coreProperties>
</file>