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58F48" w14:textId="77777777" w:rsidR="00B13FB9" w:rsidRDefault="00B13FB9" w:rsidP="00B13FB9">
      <w:pPr>
        <w:rPr>
          <w:sz w:val="36"/>
          <w:szCs w:val="36"/>
        </w:rPr>
      </w:pPr>
    </w:p>
    <w:p w14:paraId="3266676B" w14:textId="4DDB6594" w:rsidR="00B20447" w:rsidRPr="00B20447" w:rsidRDefault="00B77CB4" w:rsidP="00B13FB9">
      <w:pPr>
        <w:jc w:val="center"/>
        <w:rPr>
          <w:rFonts w:ascii="Sorts Mill Goudy" w:hAnsi="Sorts Mill Goudy"/>
          <w:color w:val="0096FF"/>
          <w:sz w:val="36"/>
          <w:szCs w:val="36"/>
        </w:rPr>
      </w:pPr>
      <w:r>
        <w:rPr>
          <w:rFonts w:ascii="Sorts Mill Goudy" w:hAnsi="Sorts Mill Goudy"/>
          <w:color w:val="0096FF"/>
          <w:sz w:val="36"/>
          <w:szCs w:val="36"/>
        </w:rPr>
        <w:t>BUILDING WEALTH</w:t>
      </w:r>
    </w:p>
    <w:p w14:paraId="1D9A386F" w14:textId="7FFD161A" w:rsidR="006A2CD2" w:rsidRPr="00B20447" w:rsidRDefault="00763EDF" w:rsidP="00B20447">
      <w:pPr>
        <w:jc w:val="center"/>
        <w:rPr>
          <w:rFonts w:ascii="Sorts Mill Goudy" w:hAnsi="Sorts Mill Goudy"/>
          <w:color w:val="0096FF"/>
          <w:sz w:val="36"/>
          <w:szCs w:val="36"/>
        </w:rPr>
      </w:pPr>
      <w:r>
        <w:rPr>
          <w:rFonts w:ascii="Sorts Mill Goudy" w:hAnsi="Sorts Mill Goudy"/>
          <w:color w:val="0096FF"/>
          <w:sz w:val="36"/>
          <w:szCs w:val="36"/>
        </w:rPr>
        <w:t>I</w:t>
      </w:r>
      <w:r w:rsidR="00B77CB4">
        <w:rPr>
          <w:rFonts w:ascii="Sorts Mill Goudy" w:hAnsi="Sorts Mill Goudy"/>
          <w:color w:val="0096FF"/>
          <w:sz w:val="36"/>
          <w:szCs w:val="36"/>
        </w:rPr>
        <w:t xml:space="preserve">n </w:t>
      </w:r>
      <w:r w:rsidR="00F4287F">
        <w:rPr>
          <w:rFonts w:ascii="Sorts Mill Goudy" w:hAnsi="Sorts Mill Goudy"/>
          <w:color w:val="0096FF"/>
          <w:sz w:val="36"/>
          <w:szCs w:val="36"/>
        </w:rPr>
        <w:t>Y</w:t>
      </w:r>
      <w:r w:rsidR="00B77CB4">
        <w:rPr>
          <w:rFonts w:ascii="Sorts Mill Goudy" w:hAnsi="Sorts Mill Goudy"/>
          <w:color w:val="0096FF"/>
          <w:sz w:val="36"/>
          <w:szCs w:val="36"/>
        </w:rPr>
        <w:t xml:space="preserve">our </w:t>
      </w:r>
      <w:r w:rsidR="00F4287F">
        <w:rPr>
          <w:rFonts w:ascii="Sorts Mill Goudy" w:hAnsi="Sorts Mill Goudy"/>
          <w:color w:val="0096FF"/>
          <w:sz w:val="36"/>
          <w:szCs w:val="36"/>
        </w:rPr>
        <w:t>B</w:t>
      </w:r>
      <w:r w:rsidR="00B77CB4">
        <w:rPr>
          <w:rFonts w:ascii="Sorts Mill Goudy" w:hAnsi="Sorts Mill Goudy"/>
          <w:color w:val="0096FF"/>
          <w:sz w:val="36"/>
          <w:szCs w:val="36"/>
        </w:rPr>
        <w:t xml:space="preserve">usiest </w:t>
      </w:r>
      <w:r w:rsidR="00F4287F">
        <w:rPr>
          <w:rFonts w:ascii="Sorts Mill Goudy" w:hAnsi="Sorts Mill Goudy"/>
          <w:color w:val="0096FF"/>
          <w:sz w:val="36"/>
          <w:szCs w:val="36"/>
        </w:rPr>
        <w:t>Y</w:t>
      </w:r>
      <w:r w:rsidR="00B77CB4">
        <w:rPr>
          <w:rFonts w:ascii="Sorts Mill Goudy" w:hAnsi="Sorts Mill Goudy"/>
          <w:color w:val="0096FF"/>
          <w:sz w:val="36"/>
          <w:szCs w:val="36"/>
        </w:rPr>
        <w:t>ears</w:t>
      </w:r>
    </w:p>
    <w:p w14:paraId="4073B585" w14:textId="77777777" w:rsidR="00B20447" w:rsidRPr="00B20447" w:rsidRDefault="00B20447">
      <w:pPr>
        <w:rPr>
          <w:sz w:val="36"/>
          <w:szCs w:val="36"/>
        </w:rPr>
      </w:pPr>
    </w:p>
    <w:p w14:paraId="419D2517" w14:textId="5C9C1496" w:rsidR="00B77CB4" w:rsidRPr="00B77CB4" w:rsidRDefault="00B77CB4" w:rsidP="006C6A94">
      <w:pPr>
        <w:spacing w:after="240"/>
        <w:rPr>
          <w:rFonts w:ascii="Acumin Pro Condensed" w:hAnsi="Acumin Pro Condensed"/>
          <w:b/>
          <w:bCs/>
          <w:color w:val="215E99" w:themeColor="text2" w:themeTint="BF"/>
        </w:rPr>
      </w:pPr>
      <w:r>
        <w:rPr>
          <w:rFonts w:ascii="Acumin Pro Condensed" w:hAnsi="Acumin Pro Condensed"/>
          <w:b/>
          <w:bCs/>
          <w:color w:val="215E99" w:themeColor="text2" w:themeTint="BF"/>
        </w:rPr>
        <w:t>Introduction</w:t>
      </w:r>
    </w:p>
    <w:p w14:paraId="390B4E35" w14:textId="7B5B0C64" w:rsidR="00B77CB4" w:rsidRPr="00B77CB4" w:rsidRDefault="00B77CB4" w:rsidP="00B77CB4">
      <w:pPr>
        <w:spacing w:after="240"/>
        <w:rPr>
          <w:rFonts w:ascii="Acumin Pro Condensed" w:hAnsi="Acumin Pro Condensed"/>
          <w:color w:val="215E99" w:themeColor="text2" w:themeTint="BF"/>
        </w:rPr>
      </w:pPr>
      <w:r w:rsidRPr="00B77CB4">
        <w:rPr>
          <w:rFonts w:ascii="Acumin Pro Condensed" w:hAnsi="Acumin Pro Condensed"/>
          <w:color w:val="215E99" w:themeColor="text2" w:themeTint="BF"/>
        </w:rPr>
        <w:t>Most financial advice falls into one of two categories: basic tips for p</w:t>
      </w:r>
      <w:r>
        <w:rPr>
          <w:rFonts w:ascii="Acumin Pro Condensed" w:hAnsi="Acumin Pro Condensed"/>
          <w:color w:val="215E99" w:themeColor="text2" w:themeTint="BF"/>
        </w:rPr>
        <w:t>rofessionals</w:t>
      </w:r>
      <w:r w:rsidRPr="00B77CB4">
        <w:rPr>
          <w:rFonts w:ascii="Acumin Pro Condensed" w:hAnsi="Acumin Pro Condensed"/>
          <w:color w:val="215E99" w:themeColor="text2" w:themeTint="BF"/>
        </w:rPr>
        <w:t xml:space="preserve"> just starting out or detailed withdrawal strategies for those approaching retirement.</w:t>
      </w:r>
      <w:r>
        <w:rPr>
          <w:rFonts w:ascii="Acumin Pro Condensed" w:hAnsi="Acumin Pro Condensed"/>
          <w:color w:val="215E99" w:themeColor="text2" w:themeTint="BF"/>
        </w:rPr>
        <w:t xml:space="preserve"> </w:t>
      </w:r>
      <w:r w:rsidRPr="00B77CB4">
        <w:rPr>
          <w:rFonts w:ascii="Acumin Pro Condensed" w:hAnsi="Acumin Pro Condensed"/>
          <w:color w:val="215E99" w:themeColor="text2" w:themeTint="BF"/>
        </w:rPr>
        <w:t>But what about the middle?</w:t>
      </w:r>
    </w:p>
    <w:p w14:paraId="1CADE4D4" w14:textId="53E03D8C" w:rsidR="00B77CB4" w:rsidRPr="00B77CB4" w:rsidRDefault="00B77CB4" w:rsidP="00B77CB4">
      <w:pPr>
        <w:spacing w:after="240"/>
        <w:rPr>
          <w:rFonts w:ascii="Acumin Pro Condensed" w:hAnsi="Acumin Pro Condensed"/>
          <w:color w:val="215E99" w:themeColor="text2" w:themeTint="BF"/>
        </w:rPr>
      </w:pPr>
      <w:r w:rsidRPr="00B77CB4">
        <w:rPr>
          <w:rFonts w:ascii="Acumin Pro Condensed" w:hAnsi="Acumin Pro Condensed"/>
          <w:color w:val="215E99" w:themeColor="text2" w:themeTint="BF"/>
        </w:rPr>
        <w:t xml:space="preserve">For high-earning professionals in their </w:t>
      </w:r>
      <w:r>
        <w:rPr>
          <w:rFonts w:ascii="Acumin Pro Condensed" w:hAnsi="Acumin Pro Condensed"/>
          <w:color w:val="215E99" w:themeColor="text2" w:themeTint="BF"/>
        </w:rPr>
        <w:t xml:space="preserve">mid-30s through 50s, </w:t>
      </w:r>
      <w:r w:rsidRPr="00B77CB4">
        <w:rPr>
          <w:rFonts w:ascii="Acumin Pro Condensed" w:hAnsi="Acumin Pro Condensed"/>
          <w:color w:val="215E99" w:themeColor="text2" w:themeTint="BF"/>
        </w:rPr>
        <w:t>these are the most financially significant decades of life. You’re likely earning more than ever</w:t>
      </w:r>
      <w:r>
        <w:rPr>
          <w:rFonts w:ascii="Acumin Pro Condensed" w:hAnsi="Acumin Pro Condensed"/>
          <w:color w:val="215E99" w:themeColor="text2" w:themeTint="BF"/>
        </w:rPr>
        <w:t>,</w:t>
      </w:r>
      <w:r w:rsidRPr="00B77CB4">
        <w:rPr>
          <w:rFonts w:ascii="Acumin Pro Condensed" w:hAnsi="Acumin Pro Condensed"/>
          <w:color w:val="215E99" w:themeColor="text2" w:themeTint="BF"/>
        </w:rPr>
        <w:t xml:space="preserve"> but you’re also busier than ever</w:t>
      </w:r>
      <w:r w:rsidR="00CD444A">
        <w:rPr>
          <w:rFonts w:ascii="Acumin Pro Condensed" w:hAnsi="Acumin Pro Condensed"/>
          <w:color w:val="215E99" w:themeColor="text2" w:themeTint="BF"/>
        </w:rPr>
        <w:t xml:space="preserve">: </w:t>
      </w:r>
      <w:r w:rsidRPr="00B77CB4">
        <w:rPr>
          <w:rFonts w:ascii="Acumin Pro Condensed" w:hAnsi="Acumin Pro Condensed"/>
          <w:color w:val="215E99" w:themeColor="text2" w:themeTint="BF"/>
        </w:rPr>
        <w:t>managing promotions, mortgages, childcare, aging parents or all of the above. With limited time and mental space, it’s easy for wealth-building to fall into “I’ll figure it out later” mode</w:t>
      </w:r>
      <w:r>
        <w:rPr>
          <w:rFonts w:ascii="Acumin Pro Condensed" w:hAnsi="Acumin Pro Condensed"/>
          <w:color w:val="215E99" w:themeColor="text2" w:themeTint="BF"/>
        </w:rPr>
        <w:t>.</w:t>
      </w:r>
    </w:p>
    <w:p w14:paraId="1629ECFE" w14:textId="361A6AC2" w:rsidR="00B77CB4" w:rsidRPr="00B77CB4" w:rsidRDefault="00B77CB4" w:rsidP="00B77CB4">
      <w:pPr>
        <w:spacing w:after="240"/>
        <w:rPr>
          <w:rFonts w:ascii="Acumin Pro Condensed" w:hAnsi="Acumin Pro Condensed"/>
          <w:color w:val="215E99" w:themeColor="text2" w:themeTint="BF"/>
        </w:rPr>
      </w:pPr>
      <w:r w:rsidRPr="00B77CB4">
        <w:rPr>
          <w:rFonts w:ascii="Acumin Pro Condensed" w:hAnsi="Acumin Pro Condensed"/>
          <w:color w:val="215E99" w:themeColor="text2" w:themeTint="BF"/>
        </w:rPr>
        <w:t xml:space="preserve">The </w:t>
      </w:r>
      <w:r w:rsidR="00CD444A">
        <w:rPr>
          <w:rFonts w:ascii="Acumin Pro Condensed" w:hAnsi="Acumin Pro Condensed"/>
          <w:color w:val="215E99" w:themeColor="text2" w:themeTint="BF"/>
        </w:rPr>
        <w:t>problem with that</w:t>
      </w:r>
      <w:r w:rsidRPr="00B77CB4">
        <w:rPr>
          <w:rFonts w:ascii="Acumin Pro Condensed" w:hAnsi="Acumin Pro Condensed"/>
          <w:color w:val="215E99" w:themeColor="text2" w:themeTint="BF"/>
        </w:rPr>
        <w:t xml:space="preserve"> is, this middle stage is where real long-term freedom </w:t>
      </w:r>
      <w:r>
        <w:rPr>
          <w:rFonts w:ascii="Acumin Pro Condensed" w:hAnsi="Acumin Pro Condensed"/>
          <w:color w:val="215E99" w:themeColor="text2" w:themeTint="BF"/>
        </w:rPr>
        <w:t>can be</w:t>
      </w:r>
      <w:r w:rsidRPr="00B77CB4">
        <w:rPr>
          <w:rFonts w:ascii="Acumin Pro Condensed" w:hAnsi="Acumin Pro Condensed"/>
          <w:color w:val="215E99" w:themeColor="text2" w:themeTint="BF"/>
        </w:rPr>
        <w:t xml:space="preserve"> built. With the right systems in place, you can convert today’s earnings into tomorrow’s options without turning financial planning into a second job.</w:t>
      </w:r>
    </w:p>
    <w:p w14:paraId="1634BE55" w14:textId="7A796520" w:rsidR="00B77CB4" w:rsidRDefault="00B77CB4" w:rsidP="00B77CB4">
      <w:pPr>
        <w:spacing w:after="240"/>
        <w:rPr>
          <w:rFonts w:ascii="Acumin Pro Condensed" w:hAnsi="Acumin Pro Condensed"/>
          <w:color w:val="215E99" w:themeColor="text2" w:themeTint="BF"/>
        </w:rPr>
      </w:pPr>
      <w:r w:rsidRPr="00B77CB4">
        <w:rPr>
          <w:rFonts w:ascii="Acumin Pro Condensed" w:hAnsi="Acumin Pro Condensed"/>
          <w:color w:val="215E99" w:themeColor="text2" w:themeTint="BF"/>
        </w:rPr>
        <w:t>This article outlines a practical blueprint for making that happen</w:t>
      </w:r>
      <w:r>
        <w:rPr>
          <w:rFonts w:ascii="Acumin Pro Condensed" w:hAnsi="Acumin Pro Condensed"/>
          <w:color w:val="215E99" w:themeColor="text2" w:themeTint="BF"/>
        </w:rPr>
        <w:t>:</w:t>
      </w:r>
      <w:r w:rsidRPr="00B77CB4">
        <w:rPr>
          <w:rFonts w:ascii="Acumin Pro Condensed" w:hAnsi="Acumin Pro Condensed"/>
          <w:color w:val="215E99" w:themeColor="text2" w:themeTint="BF"/>
        </w:rPr>
        <w:t xml:space="preserve"> a strategy built for professionals with a lot going on, designed to run in the background while life keeps moving.</w:t>
      </w:r>
    </w:p>
    <w:p w14:paraId="2D3E3A28" w14:textId="77777777" w:rsidR="00B77CB4" w:rsidRPr="00AA3F9F" w:rsidRDefault="00B77CB4" w:rsidP="00B77CB4">
      <w:pPr>
        <w:pStyle w:val="ListParagraph"/>
        <w:numPr>
          <w:ilvl w:val="0"/>
          <w:numId w:val="1"/>
        </w:numPr>
        <w:spacing w:after="240"/>
        <w:rPr>
          <w:rFonts w:ascii="Acumin Pro Condensed" w:hAnsi="Acumin Pro Condensed"/>
          <w:b/>
          <w:bCs/>
          <w:color w:val="215E99" w:themeColor="text2" w:themeTint="BF"/>
        </w:rPr>
      </w:pPr>
      <w:r>
        <w:rPr>
          <w:rFonts w:ascii="Acumin Pro Condensed" w:hAnsi="Acumin Pro Condensed"/>
          <w:b/>
          <w:bCs/>
          <w:color w:val="215E99" w:themeColor="text2" w:themeTint="BF"/>
        </w:rPr>
        <w:t>Build Around Automation</w:t>
      </w:r>
    </w:p>
    <w:p w14:paraId="69730B38" w14:textId="3B0EA507" w:rsidR="00B77CB4" w:rsidRPr="00B77CB4" w:rsidRDefault="00B77CB4" w:rsidP="00B77CB4">
      <w:pPr>
        <w:spacing w:after="240"/>
        <w:rPr>
          <w:rFonts w:ascii="Acumin Pro Condensed" w:hAnsi="Acumin Pro Condensed"/>
          <w:color w:val="215E99" w:themeColor="text2" w:themeTint="BF"/>
        </w:rPr>
      </w:pPr>
      <w:r w:rsidRPr="00B77CB4">
        <w:rPr>
          <w:rFonts w:ascii="Acumin Pro Condensed" w:hAnsi="Acumin Pro Condensed"/>
          <w:color w:val="215E99" w:themeColor="text2" w:themeTint="BF"/>
        </w:rPr>
        <w:t>The most important tool for busy accumulators isn’t a hot stock pick</w:t>
      </w:r>
      <w:r>
        <w:rPr>
          <w:rFonts w:ascii="Acumin Pro Condensed" w:hAnsi="Acumin Pro Condensed"/>
          <w:color w:val="215E99" w:themeColor="text2" w:themeTint="BF"/>
        </w:rPr>
        <w:t xml:space="preserve">; </w:t>
      </w:r>
      <w:r w:rsidRPr="00B77CB4">
        <w:rPr>
          <w:rFonts w:ascii="Acumin Pro Condensed" w:hAnsi="Acumin Pro Condensed"/>
          <w:color w:val="215E99" w:themeColor="text2" w:themeTint="BF"/>
        </w:rPr>
        <w:t>it’s automation.</w:t>
      </w:r>
      <w:r>
        <w:rPr>
          <w:rFonts w:ascii="Acumin Pro Condensed" w:hAnsi="Acumin Pro Condensed"/>
          <w:color w:val="215E99" w:themeColor="text2" w:themeTint="BF"/>
        </w:rPr>
        <w:t xml:space="preserve"> </w:t>
      </w:r>
      <w:r w:rsidRPr="00B77CB4">
        <w:rPr>
          <w:rFonts w:ascii="Acumin Pro Condensed" w:hAnsi="Acumin Pro Condensed"/>
          <w:color w:val="215E99" w:themeColor="text2" w:themeTint="BF"/>
        </w:rPr>
        <w:t>When you take day-to-day decision-making out of your finances, two things happen:</w:t>
      </w:r>
      <w:r>
        <w:rPr>
          <w:rFonts w:ascii="Acumin Pro Condensed" w:hAnsi="Acumin Pro Condensed"/>
          <w:color w:val="215E99" w:themeColor="text2" w:themeTint="BF"/>
        </w:rPr>
        <w:t xml:space="preserve"> (1) y</w:t>
      </w:r>
      <w:r w:rsidRPr="00B77CB4">
        <w:rPr>
          <w:rFonts w:ascii="Acumin Pro Condensed" w:hAnsi="Acumin Pro Condensed"/>
          <w:color w:val="215E99" w:themeColor="text2" w:themeTint="BF"/>
        </w:rPr>
        <w:t>ou</w:t>
      </w:r>
      <w:r w:rsidR="004E0B04">
        <w:rPr>
          <w:rFonts w:ascii="Acumin Pro Condensed" w:hAnsi="Acumin Pro Condensed"/>
          <w:color w:val="215E99" w:themeColor="text2" w:themeTint="BF"/>
        </w:rPr>
        <w:t xml:space="preserve"> help</w:t>
      </w:r>
      <w:r w:rsidRPr="00B77CB4">
        <w:rPr>
          <w:rFonts w:ascii="Acumin Pro Condensed" w:hAnsi="Acumin Pro Condensed"/>
          <w:color w:val="215E99" w:themeColor="text2" w:themeTint="BF"/>
        </w:rPr>
        <w:t xml:space="preserve"> </w:t>
      </w:r>
      <w:r w:rsidR="004E0B04">
        <w:rPr>
          <w:rFonts w:ascii="Acumin Pro Condensed" w:hAnsi="Acumin Pro Condensed"/>
          <w:color w:val="215E99" w:themeColor="text2" w:themeTint="BF"/>
        </w:rPr>
        <w:t>r</w:t>
      </w:r>
      <w:r w:rsidRPr="00B77CB4">
        <w:rPr>
          <w:rFonts w:ascii="Acumin Pro Condensed" w:hAnsi="Acumin Pro Condensed"/>
          <w:color w:val="215E99" w:themeColor="text2" w:themeTint="BF"/>
        </w:rPr>
        <w:t>educe the risk of falling behind when life gets busy</w:t>
      </w:r>
      <w:r w:rsidR="00BF7372">
        <w:rPr>
          <w:rFonts w:ascii="Acumin Pro Condensed" w:hAnsi="Acumin Pro Condensed"/>
          <w:color w:val="215E99" w:themeColor="text2" w:themeTint="BF"/>
        </w:rPr>
        <w:t xml:space="preserve"> </w:t>
      </w:r>
      <w:r>
        <w:rPr>
          <w:rFonts w:ascii="Acumin Pro Condensed" w:hAnsi="Acumin Pro Condensed"/>
          <w:color w:val="215E99" w:themeColor="text2" w:themeTint="BF"/>
        </w:rPr>
        <w:t>and</w:t>
      </w:r>
      <w:r w:rsidR="00BF7372">
        <w:rPr>
          <w:rFonts w:ascii="Acumin Pro Condensed" w:hAnsi="Acumin Pro Condensed"/>
          <w:color w:val="215E99" w:themeColor="text2" w:themeTint="BF"/>
        </w:rPr>
        <w:t xml:space="preserve"> </w:t>
      </w:r>
      <w:r>
        <w:rPr>
          <w:rFonts w:ascii="Acumin Pro Condensed" w:hAnsi="Acumin Pro Condensed"/>
          <w:color w:val="215E99" w:themeColor="text2" w:themeTint="BF"/>
        </w:rPr>
        <w:t>(2) y</w:t>
      </w:r>
      <w:r w:rsidRPr="00B77CB4">
        <w:rPr>
          <w:rFonts w:ascii="Acumin Pro Condensed" w:hAnsi="Acumin Pro Condensed"/>
          <w:color w:val="215E99" w:themeColor="text2" w:themeTint="BF"/>
        </w:rPr>
        <w:t>ou free up mental bandwidth for higher-value decisions elsewhere</w:t>
      </w:r>
      <w:r>
        <w:rPr>
          <w:rFonts w:ascii="Acumin Pro Condensed" w:hAnsi="Acumin Pro Condensed"/>
          <w:color w:val="215E99" w:themeColor="text2" w:themeTint="BF"/>
        </w:rPr>
        <w:t xml:space="preserve">. </w:t>
      </w:r>
      <w:r w:rsidRPr="00B77CB4">
        <w:rPr>
          <w:rFonts w:ascii="Acumin Pro Condensed" w:hAnsi="Acumin Pro Condensed"/>
          <w:color w:val="215E99" w:themeColor="text2" w:themeTint="BF"/>
        </w:rPr>
        <w:t>At this stage, automation should cover three areas:</w:t>
      </w:r>
    </w:p>
    <w:p w14:paraId="0A0193C6" w14:textId="13720C7B" w:rsidR="00B77CB4" w:rsidRPr="00B77CB4" w:rsidRDefault="00B77CB4" w:rsidP="00B77CB4">
      <w:pPr>
        <w:pStyle w:val="ListParagraph"/>
        <w:numPr>
          <w:ilvl w:val="0"/>
          <w:numId w:val="9"/>
        </w:numPr>
        <w:spacing w:after="240"/>
        <w:rPr>
          <w:rFonts w:ascii="Acumin Pro Condensed" w:hAnsi="Acumin Pro Condensed"/>
          <w:color w:val="215E99" w:themeColor="text2" w:themeTint="BF"/>
        </w:rPr>
      </w:pPr>
      <w:r w:rsidRPr="00B77CB4">
        <w:rPr>
          <w:rFonts w:ascii="Acumin Pro Condensed" w:hAnsi="Acumin Pro Condensed"/>
          <w:color w:val="215E99" w:themeColor="text2" w:themeTint="BF"/>
        </w:rPr>
        <w:t>Savings – Schedule recurring transfers to long-term investment accounts. Treat them like fixed expenses that happen no matter what.</w:t>
      </w:r>
    </w:p>
    <w:p w14:paraId="75B49192" w14:textId="3673173C" w:rsidR="00B77CB4" w:rsidRPr="00B77CB4" w:rsidRDefault="00B77CB4" w:rsidP="00B77CB4">
      <w:pPr>
        <w:pStyle w:val="ListParagraph"/>
        <w:numPr>
          <w:ilvl w:val="0"/>
          <w:numId w:val="9"/>
        </w:numPr>
        <w:spacing w:after="240"/>
        <w:rPr>
          <w:rFonts w:ascii="Acumin Pro Condensed" w:hAnsi="Acumin Pro Condensed"/>
          <w:color w:val="215E99" w:themeColor="text2" w:themeTint="BF"/>
        </w:rPr>
      </w:pPr>
      <w:r w:rsidRPr="00B77CB4">
        <w:rPr>
          <w:rFonts w:ascii="Acumin Pro Condensed" w:hAnsi="Acumin Pro Condensed"/>
          <w:color w:val="215E99" w:themeColor="text2" w:themeTint="BF"/>
        </w:rPr>
        <w:t>Investing – Contribute automatically to diversified portfolios. Dollar-cost averaging</w:t>
      </w:r>
      <w:r>
        <w:rPr>
          <w:rFonts w:ascii="Acumin Pro Condensed" w:hAnsi="Acumin Pro Condensed"/>
          <w:color w:val="215E99" w:themeColor="text2" w:themeTint="BF"/>
        </w:rPr>
        <w:t xml:space="preserve">, </w:t>
      </w:r>
      <w:r w:rsidRPr="00B77CB4">
        <w:rPr>
          <w:rFonts w:ascii="Acumin Pro Condensed" w:hAnsi="Acumin Pro Condensed"/>
          <w:color w:val="215E99" w:themeColor="text2" w:themeTint="BF"/>
        </w:rPr>
        <w:t>investin</w:t>
      </w:r>
      <w:r w:rsidR="00FB70FF">
        <w:rPr>
          <w:rFonts w:ascii="Acumin Pro Condensed" w:hAnsi="Acumin Pro Condensed"/>
          <w:color w:val="215E99" w:themeColor="text2" w:themeTint="BF"/>
        </w:rPr>
        <w:t>g consistent amounts</w:t>
      </w:r>
      <w:r w:rsidRPr="00B77CB4">
        <w:rPr>
          <w:rFonts w:ascii="Acumin Pro Condensed" w:hAnsi="Acumin Pro Condensed"/>
          <w:color w:val="215E99" w:themeColor="text2" w:themeTint="BF"/>
        </w:rPr>
        <w:t xml:space="preserve"> over time</w:t>
      </w:r>
      <w:r>
        <w:rPr>
          <w:rFonts w:ascii="Acumin Pro Condensed" w:hAnsi="Acumin Pro Condensed"/>
          <w:color w:val="215E99" w:themeColor="text2" w:themeTint="BF"/>
        </w:rPr>
        <w:t xml:space="preserve">, can help to smooth out </w:t>
      </w:r>
      <w:r w:rsidRPr="00B77CB4">
        <w:rPr>
          <w:rFonts w:ascii="Acumin Pro Condensed" w:hAnsi="Acumin Pro Condensed"/>
          <w:color w:val="215E99" w:themeColor="text2" w:themeTint="BF"/>
        </w:rPr>
        <w:t xml:space="preserve">the impact of market </w:t>
      </w:r>
      <w:r w:rsidR="00FB70FF">
        <w:rPr>
          <w:rFonts w:ascii="Acumin Pro Condensed" w:hAnsi="Acumin Pro Condensed"/>
          <w:color w:val="215E99" w:themeColor="text2" w:themeTint="BF"/>
        </w:rPr>
        <w:t xml:space="preserve">volatility and </w:t>
      </w:r>
      <w:r w:rsidR="00E63C07">
        <w:rPr>
          <w:rFonts w:ascii="Acumin Pro Condensed" w:hAnsi="Acumin Pro Condensed"/>
          <w:color w:val="215E99" w:themeColor="text2" w:themeTint="BF"/>
        </w:rPr>
        <w:t xml:space="preserve">minimize </w:t>
      </w:r>
      <w:r w:rsidR="00FB70FF">
        <w:rPr>
          <w:rFonts w:ascii="Acumin Pro Condensed" w:hAnsi="Acumin Pro Condensed"/>
          <w:color w:val="215E99" w:themeColor="text2" w:themeTint="BF"/>
        </w:rPr>
        <w:t xml:space="preserve">the temptation </w:t>
      </w:r>
      <w:r w:rsidR="00E63C07">
        <w:rPr>
          <w:rFonts w:ascii="Acumin Pro Condensed" w:hAnsi="Acumin Pro Condensed"/>
          <w:color w:val="215E99" w:themeColor="text2" w:themeTint="BF"/>
        </w:rPr>
        <w:t>to time the market</w:t>
      </w:r>
      <w:r w:rsidRPr="00B77CB4">
        <w:rPr>
          <w:rFonts w:ascii="Acumin Pro Condensed" w:hAnsi="Acumin Pro Condensed"/>
          <w:color w:val="215E99" w:themeColor="text2" w:themeTint="BF"/>
        </w:rPr>
        <w:t>.</w:t>
      </w:r>
    </w:p>
    <w:p w14:paraId="0BA1C1CB" w14:textId="58660E6B" w:rsidR="00B77CB4" w:rsidRPr="00B77CB4" w:rsidRDefault="00B77CB4" w:rsidP="00B77CB4">
      <w:pPr>
        <w:pStyle w:val="ListParagraph"/>
        <w:numPr>
          <w:ilvl w:val="0"/>
          <w:numId w:val="9"/>
        </w:numPr>
        <w:spacing w:after="240"/>
        <w:rPr>
          <w:rFonts w:ascii="Acumin Pro Condensed" w:hAnsi="Acumin Pro Condensed"/>
          <w:color w:val="215E99" w:themeColor="text2" w:themeTint="BF"/>
        </w:rPr>
      </w:pPr>
      <w:r w:rsidRPr="00B77CB4">
        <w:rPr>
          <w:rFonts w:ascii="Acumin Pro Condensed" w:hAnsi="Acumin Pro Condensed"/>
          <w:color w:val="215E99" w:themeColor="text2" w:themeTint="BF"/>
        </w:rPr>
        <w:t xml:space="preserve">Rebalancing – Use platforms or advisors that offer automatic </w:t>
      </w:r>
      <w:r w:rsidR="004E0B04" w:rsidRPr="00B77CB4">
        <w:rPr>
          <w:rFonts w:ascii="Acumin Pro Condensed" w:hAnsi="Acumin Pro Condensed"/>
          <w:color w:val="215E99" w:themeColor="text2" w:themeTint="BF"/>
        </w:rPr>
        <w:t>rebalancing,</w:t>
      </w:r>
      <w:r w:rsidRPr="00B77CB4">
        <w:rPr>
          <w:rFonts w:ascii="Acumin Pro Condensed" w:hAnsi="Acumin Pro Condensed"/>
          <w:color w:val="215E99" w:themeColor="text2" w:themeTint="BF"/>
        </w:rPr>
        <w:t xml:space="preserve"> so your risk level stays consistent as markets move.</w:t>
      </w:r>
    </w:p>
    <w:p w14:paraId="71514E9B" w14:textId="263DF56C" w:rsidR="00B77CB4" w:rsidRPr="00B77CB4" w:rsidRDefault="00B77CB4" w:rsidP="00B77CB4">
      <w:pPr>
        <w:spacing w:after="240"/>
        <w:rPr>
          <w:rFonts w:ascii="Acumin Pro Condensed" w:hAnsi="Acumin Pro Condensed"/>
          <w:color w:val="215E99" w:themeColor="text2" w:themeTint="BF"/>
        </w:rPr>
      </w:pPr>
      <w:r>
        <w:rPr>
          <w:rFonts w:ascii="Acumin Pro Condensed" w:hAnsi="Acumin Pro Condensed"/>
          <w:color w:val="215E99" w:themeColor="text2" w:themeTint="BF"/>
        </w:rPr>
        <w:t>Point being, t</w:t>
      </w:r>
      <w:r w:rsidRPr="00B77CB4">
        <w:rPr>
          <w:rFonts w:ascii="Acumin Pro Condensed" w:hAnsi="Acumin Pro Condensed"/>
          <w:color w:val="215E99" w:themeColor="text2" w:themeTint="BF"/>
        </w:rPr>
        <w:t>he less often you have to think about the mechanics, the more likely you are to stick to the plan—and the more mental space you have for decisions that actually move you forward.</w:t>
      </w:r>
    </w:p>
    <w:p w14:paraId="57417C6E" w14:textId="77777777" w:rsidR="00B77CB4" w:rsidRDefault="00B77CB4" w:rsidP="00B77CB4">
      <w:pPr>
        <w:pStyle w:val="ListParagraph"/>
        <w:numPr>
          <w:ilvl w:val="0"/>
          <w:numId w:val="1"/>
        </w:numPr>
        <w:spacing w:after="240"/>
        <w:rPr>
          <w:rFonts w:ascii="Acumin Pro Condensed" w:hAnsi="Acumin Pro Condensed"/>
          <w:b/>
          <w:bCs/>
          <w:color w:val="215E99" w:themeColor="text2" w:themeTint="BF"/>
        </w:rPr>
      </w:pPr>
      <w:r>
        <w:rPr>
          <w:rFonts w:ascii="Acumin Pro Condensed" w:hAnsi="Acumin Pro Condensed"/>
          <w:b/>
          <w:bCs/>
          <w:color w:val="215E99" w:themeColor="text2" w:themeTint="BF"/>
        </w:rPr>
        <w:t>Be Strategic with Where Your Money Goes</w:t>
      </w:r>
    </w:p>
    <w:p w14:paraId="1F17258E" w14:textId="5955FB8D" w:rsidR="00B77CB4" w:rsidRPr="00B77CB4" w:rsidRDefault="00B77CB4" w:rsidP="00B77CB4">
      <w:pPr>
        <w:spacing w:after="240"/>
        <w:rPr>
          <w:rFonts w:ascii="Acumin Pro Condensed" w:hAnsi="Acumin Pro Condensed"/>
          <w:color w:val="215E99" w:themeColor="text2" w:themeTint="BF"/>
        </w:rPr>
      </w:pPr>
      <w:r w:rsidRPr="00B77CB4">
        <w:rPr>
          <w:rFonts w:ascii="Acumin Pro Condensed" w:hAnsi="Acumin Pro Condensed"/>
          <w:color w:val="215E99" w:themeColor="text2" w:themeTint="BF"/>
        </w:rPr>
        <w:lastRenderedPageBreak/>
        <w:t>Saving and investing regularly is the baseline. The next step is putting those dollars in the right place. The accounts you use affect how your money grows, how much tax you pay</w:t>
      </w:r>
      <w:r w:rsidR="00BD0ACC">
        <w:rPr>
          <w:rFonts w:ascii="Acumin Pro Condensed" w:hAnsi="Acumin Pro Condensed"/>
          <w:color w:val="215E99" w:themeColor="text2" w:themeTint="BF"/>
        </w:rPr>
        <w:t xml:space="preserve"> </w:t>
      </w:r>
      <w:r w:rsidRPr="00B77CB4">
        <w:rPr>
          <w:rFonts w:ascii="Acumin Pro Condensed" w:hAnsi="Acumin Pro Condensed"/>
          <w:color w:val="215E99" w:themeColor="text2" w:themeTint="BF"/>
        </w:rPr>
        <w:t>and how flexible your plan will be when you need the money.</w:t>
      </w:r>
    </w:p>
    <w:p w14:paraId="74B60302" w14:textId="352CC311" w:rsidR="00BD0ACC" w:rsidRPr="00BD0ACC" w:rsidRDefault="00BD0ACC" w:rsidP="00BD0ACC">
      <w:pPr>
        <w:spacing w:after="240"/>
        <w:rPr>
          <w:rFonts w:ascii="Acumin Pro Condensed" w:hAnsi="Acumin Pro Condensed"/>
          <w:color w:val="215E99" w:themeColor="text2" w:themeTint="BF"/>
        </w:rPr>
      </w:pPr>
      <w:r>
        <w:rPr>
          <w:rFonts w:ascii="Acumin Pro Condensed" w:hAnsi="Acumin Pro Condensed"/>
          <w:color w:val="215E99" w:themeColor="text2" w:themeTint="BF"/>
        </w:rPr>
        <w:t xml:space="preserve">While no two investors are the same, an example </w:t>
      </w:r>
      <w:r w:rsidR="00B77CB4" w:rsidRPr="00B77CB4">
        <w:rPr>
          <w:rFonts w:ascii="Acumin Pro Condensed" w:hAnsi="Acumin Pro Condensed"/>
          <w:color w:val="215E99" w:themeColor="text2" w:themeTint="BF"/>
        </w:rPr>
        <w:t xml:space="preserve">order of operations </w:t>
      </w:r>
      <w:r>
        <w:rPr>
          <w:rFonts w:ascii="Acumin Pro Condensed" w:hAnsi="Acumin Pro Condensed"/>
          <w:color w:val="215E99" w:themeColor="text2" w:themeTint="BF"/>
        </w:rPr>
        <w:t xml:space="preserve">that applies to many in their peak earning years could be as follows: </w:t>
      </w:r>
    </w:p>
    <w:p w14:paraId="04056F7B" w14:textId="47C30AF4" w:rsidR="00BD0ACC" w:rsidRDefault="00BD0ACC" w:rsidP="00BD0ACC">
      <w:pPr>
        <w:pStyle w:val="ListParagraph"/>
        <w:numPr>
          <w:ilvl w:val="0"/>
          <w:numId w:val="12"/>
        </w:numPr>
        <w:spacing w:after="240"/>
        <w:rPr>
          <w:rFonts w:ascii="Acumin Pro Condensed" w:hAnsi="Acumin Pro Condensed"/>
          <w:color w:val="215E99" w:themeColor="text2" w:themeTint="BF"/>
        </w:rPr>
      </w:pPr>
      <w:r w:rsidRPr="00BD0ACC">
        <w:rPr>
          <w:rFonts w:ascii="Acumin Pro Condensed" w:hAnsi="Acumin Pro Condensed"/>
          <w:color w:val="215E99" w:themeColor="text2" w:themeTint="BF"/>
        </w:rPr>
        <w:t>Optimize tax-deferred and tax-free layers: Max the obvious, then look for hidden space. Most clients are already f</w:t>
      </w:r>
      <w:r w:rsidR="00E63C07">
        <w:rPr>
          <w:rFonts w:ascii="Acumin Pro Condensed" w:hAnsi="Acumin Pro Condensed"/>
          <w:color w:val="215E99" w:themeColor="text2" w:themeTint="BF"/>
        </w:rPr>
        <w:t>unding</w:t>
      </w:r>
      <w:r w:rsidRPr="00BD0ACC">
        <w:rPr>
          <w:rFonts w:ascii="Acumin Pro Condensed" w:hAnsi="Acumin Pro Condensed"/>
          <w:color w:val="215E99" w:themeColor="text2" w:themeTint="BF"/>
        </w:rPr>
        <w:t xml:space="preserve"> 401(k) or 403(b) plans to the limit. Where it gets interesting is with mega backdoor Roth contributions inside certain plans, or defined benefit/cash balance plans that let you defer six figures pre-tax if you own your business or have flexible comp structures. </w:t>
      </w:r>
    </w:p>
    <w:p w14:paraId="559A53F7" w14:textId="776F6183" w:rsidR="00BD0ACC" w:rsidRDefault="00BD0ACC" w:rsidP="00BD0ACC">
      <w:pPr>
        <w:pStyle w:val="ListParagraph"/>
        <w:numPr>
          <w:ilvl w:val="0"/>
          <w:numId w:val="12"/>
        </w:numPr>
        <w:spacing w:after="240"/>
        <w:rPr>
          <w:rFonts w:ascii="Acumin Pro Condensed" w:hAnsi="Acumin Pro Condensed"/>
          <w:color w:val="215E99" w:themeColor="text2" w:themeTint="BF"/>
        </w:rPr>
      </w:pPr>
      <w:r w:rsidRPr="00BD0ACC">
        <w:rPr>
          <w:rFonts w:ascii="Acumin Pro Condensed" w:hAnsi="Acumin Pro Condensed"/>
          <w:color w:val="215E99" w:themeColor="text2" w:themeTint="BF"/>
        </w:rPr>
        <w:t xml:space="preserve">Build </w:t>
      </w:r>
      <w:r w:rsidR="008353BA">
        <w:rPr>
          <w:rFonts w:ascii="Acumin Pro Condensed" w:hAnsi="Acumin Pro Condensed"/>
          <w:color w:val="215E99" w:themeColor="text2" w:themeTint="BF"/>
        </w:rPr>
        <w:t>your</w:t>
      </w:r>
      <w:r w:rsidRPr="00BD0ACC">
        <w:rPr>
          <w:rFonts w:ascii="Acumin Pro Condensed" w:hAnsi="Acumin Pro Condensed"/>
          <w:color w:val="215E99" w:themeColor="text2" w:themeTint="BF"/>
        </w:rPr>
        <w:t xml:space="preserve"> taxable </w:t>
      </w:r>
      <w:r w:rsidR="008353BA">
        <w:rPr>
          <w:rFonts w:ascii="Acumin Pro Condensed" w:hAnsi="Acumin Pro Condensed"/>
          <w:color w:val="215E99" w:themeColor="text2" w:themeTint="BF"/>
        </w:rPr>
        <w:t>fund</w:t>
      </w:r>
      <w:r w:rsidRPr="00BD0ACC">
        <w:rPr>
          <w:rFonts w:ascii="Acumin Pro Condensed" w:hAnsi="Acumin Pro Condensed"/>
          <w:color w:val="215E99" w:themeColor="text2" w:themeTint="BF"/>
        </w:rPr>
        <w:t xml:space="preserve">: Retirement accounts are great, but many earners max out what they can contribute quickly, and your flexibility to withdraw early </w:t>
      </w:r>
      <w:r w:rsidR="00E63C07">
        <w:rPr>
          <w:rFonts w:ascii="Acumin Pro Condensed" w:hAnsi="Acumin Pro Condensed"/>
          <w:color w:val="215E99" w:themeColor="text2" w:themeTint="BF"/>
        </w:rPr>
        <w:t>is</w:t>
      </w:r>
      <w:r w:rsidRPr="00BD0ACC">
        <w:rPr>
          <w:rFonts w:ascii="Acumin Pro Condensed" w:hAnsi="Acumin Pro Condensed"/>
          <w:color w:val="215E99" w:themeColor="text2" w:themeTint="BF"/>
        </w:rPr>
        <w:t xml:space="preserve"> limited </w:t>
      </w:r>
      <w:r w:rsidR="00686C05">
        <w:rPr>
          <w:rFonts w:ascii="Acumin Pro Condensed" w:hAnsi="Acumin Pro Condensed"/>
          <w:color w:val="215E99" w:themeColor="text2" w:themeTint="BF"/>
        </w:rPr>
        <w:t xml:space="preserve">by ordinary income tax </w:t>
      </w:r>
      <w:r w:rsidR="00E63C07">
        <w:rPr>
          <w:rFonts w:ascii="Acumin Pro Condensed" w:hAnsi="Acumin Pro Condensed"/>
          <w:color w:val="215E99" w:themeColor="text2" w:themeTint="BF"/>
        </w:rPr>
        <w:t xml:space="preserve">and </w:t>
      </w:r>
      <w:r w:rsidR="003A7DCE">
        <w:rPr>
          <w:rFonts w:ascii="Acumin Pro Condensed" w:hAnsi="Acumin Pro Condensed"/>
          <w:color w:val="215E99" w:themeColor="text2" w:themeTint="BF"/>
        </w:rPr>
        <w:t xml:space="preserve">substantial </w:t>
      </w:r>
      <w:r w:rsidRPr="00BD0ACC">
        <w:rPr>
          <w:rFonts w:ascii="Acumin Pro Condensed" w:hAnsi="Acumin Pro Condensed"/>
          <w:color w:val="215E99" w:themeColor="text2" w:themeTint="BF"/>
        </w:rPr>
        <w:t xml:space="preserve">penalties. A taxable brokerage account gives you: </w:t>
      </w:r>
    </w:p>
    <w:p w14:paraId="619A1F7E" w14:textId="77777777" w:rsidR="00BD0ACC" w:rsidRDefault="00BD0ACC" w:rsidP="00BD0ACC">
      <w:pPr>
        <w:pStyle w:val="ListParagraph"/>
        <w:numPr>
          <w:ilvl w:val="1"/>
          <w:numId w:val="12"/>
        </w:numPr>
        <w:spacing w:after="240"/>
        <w:rPr>
          <w:rFonts w:ascii="Acumin Pro Condensed" w:hAnsi="Acumin Pro Condensed"/>
          <w:color w:val="215E99" w:themeColor="text2" w:themeTint="BF"/>
        </w:rPr>
      </w:pPr>
      <w:r>
        <w:rPr>
          <w:rFonts w:ascii="Acumin Pro Condensed" w:hAnsi="Acumin Pro Condensed"/>
          <w:color w:val="215E99" w:themeColor="text2" w:themeTint="BF"/>
        </w:rPr>
        <w:t>C</w:t>
      </w:r>
      <w:r w:rsidRPr="00BD0ACC">
        <w:rPr>
          <w:rFonts w:ascii="Acumin Pro Condensed" w:hAnsi="Acumin Pro Condensed"/>
          <w:color w:val="215E99" w:themeColor="text2" w:themeTint="BF"/>
        </w:rPr>
        <w:t>apital gains rates instead of ordinary income rates on long-term holding</w:t>
      </w:r>
      <w:r>
        <w:rPr>
          <w:rFonts w:ascii="Acumin Pro Condensed" w:hAnsi="Acumin Pro Condensed"/>
          <w:color w:val="215E99" w:themeColor="text2" w:themeTint="BF"/>
        </w:rPr>
        <w:t xml:space="preserve">s; </w:t>
      </w:r>
    </w:p>
    <w:p w14:paraId="57C2A0F1" w14:textId="2CDD1937" w:rsidR="00BD0ACC" w:rsidRDefault="00E63C07" w:rsidP="00BD0ACC">
      <w:pPr>
        <w:pStyle w:val="ListParagraph"/>
        <w:numPr>
          <w:ilvl w:val="1"/>
          <w:numId w:val="12"/>
        </w:numPr>
        <w:spacing w:after="240"/>
        <w:rPr>
          <w:rFonts w:ascii="Acumin Pro Condensed" w:hAnsi="Acumin Pro Condensed"/>
          <w:color w:val="215E99" w:themeColor="text2" w:themeTint="BF"/>
        </w:rPr>
      </w:pPr>
      <w:r>
        <w:rPr>
          <w:rFonts w:ascii="Acumin Pro Condensed" w:hAnsi="Acumin Pro Condensed"/>
          <w:color w:val="215E99" w:themeColor="text2" w:themeTint="BF"/>
        </w:rPr>
        <w:t xml:space="preserve">Liquidity for </w:t>
      </w:r>
      <w:r w:rsidR="00BD0ACC" w:rsidRPr="00BD0ACC">
        <w:rPr>
          <w:rFonts w:ascii="Acumin Pro Condensed" w:hAnsi="Acumin Pro Condensed"/>
          <w:color w:val="215E99" w:themeColor="text2" w:themeTint="BF"/>
        </w:rPr>
        <w:t>pre-retirement opportunities (business, real estate, sabbaticals)</w:t>
      </w:r>
      <w:r w:rsidR="00BD0ACC">
        <w:rPr>
          <w:rFonts w:ascii="Acumin Pro Condensed" w:hAnsi="Acumin Pro Condensed"/>
          <w:color w:val="215E99" w:themeColor="text2" w:themeTint="BF"/>
        </w:rPr>
        <w:t xml:space="preserve">; and, </w:t>
      </w:r>
    </w:p>
    <w:p w14:paraId="2D3DEEA6" w14:textId="1C4FFA03" w:rsidR="008353BA" w:rsidRDefault="00BD0ACC" w:rsidP="00BD0ACC">
      <w:pPr>
        <w:pStyle w:val="ListParagraph"/>
        <w:numPr>
          <w:ilvl w:val="1"/>
          <w:numId w:val="12"/>
        </w:numPr>
        <w:spacing w:after="240"/>
        <w:rPr>
          <w:rFonts w:ascii="Acumin Pro Condensed" w:hAnsi="Acumin Pro Condensed"/>
          <w:color w:val="215E99" w:themeColor="text2" w:themeTint="BF"/>
        </w:rPr>
      </w:pPr>
      <w:r w:rsidRPr="00BD0ACC">
        <w:rPr>
          <w:rFonts w:ascii="Acumin Pro Condensed" w:hAnsi="Acumin Pro Condensed"/>
          <w:color w:val="215E99" w:themeColor="text2" w:themeTint="BF"/>
        </w:rPr>
        <w:t xml:space="preserve">The ability to harvest losses to offset </w:t>
      </w:r>
      <w:r w:rsidR="00A6651E">
        <w:rPr>
          <w:rFonts w:ascii="Acumin Pro Condensed" w:hAnsi="Acumin Pro Condensed"/>
          <w:color w:val="215E99" w:themeColor="text2" w:themeTint="BF"/>
        </w:rPr>
        <w:t xml:space="preserve">taxable </w:t>
      </w:r>
      <w:r w:rsidRPr="00BD0ACC">
        <w:rPr>
          <w:rFonts w:ascii="Acumin Pro Condensed" w:hAnsi="Acumin Pro Condensed"/>
          <w:color w:val="215E99" w:themeColor="text2" w:themeTint="BF"/>
        </w:rPr>
        <w:t>gains elsewher</w:t>
      </w:r>
      <w:r w:rsidR="008353BA">
        <w:rPr>
          <w:rFonts w:ascii="Acumin Pro Condensed" w:hAnsi="Acumin Pro Condensed"/>
          <w:color w:val="215E99" w:themeColor="text2" w:themeTint="BF"/>
        </w:rPr>
        <w:t>e.</w:t>
      </w:r>
    </w:p>
    <w:p w14:paraId="4E5F64BE" w14:textId="47A75531" w:rsidR="00BD0ACC" w:rsidRPr="008353BA" w:rsidRDefault="00BD0ACC" w:rsidP="00BD0ACC">
      <w:pPr>
        <w:pStyle w:val="ListParagraph"/>
        <w:numPr>
          <w:ilvl w:val="0"/>
          <w:numId w:val="12"/>
        </w:numPr>
        <w:spacing w:after="240"/>
        <w:rPr>
          <w:rFonts w:ascii="Acumin Pro Condensed" w:hAnsi="Acumin Pro Condensed"/>
          <w:color w:val="215E99" w:themeColor="text2" w:themeTint="BF"/>
        </w:rPr>
      </w:pPr>
      <w:r w:rsidRPr="008353BA">
        <w:rPr>
          <w:rFonts w:ascii="Acumin Pro Condensed" w:hAnsi="Acumin Pro Condensed"/>
          <w:color w:val="215E99" w:themeColor="text2" w:themeTint="BF"/>
        </w:rPr>
        <w:t>Use overflow for alternative assets</w:t>
      </w:r>
      <w:r w:rsidR="008353BA">
        <w:rPr>
          <w:rFonts w:ascii="Acumin Pro Condensed" w:hAnsi="Acumin Pro Condensed"/>
          <w:color w:val="215E99" w:themeColor="text2" w:themeTint="BF"/>
        </w:rPr>
        <w:t xml:space="preserve">: </w:t>
      </w:r>
      <w:r w:rsidRPr="008353BA">
        <w:rPr>
          <w:rFonts w:ascii="Acumin Pro Condensed" w:hAnsi="Acumin Pro Condensed"/>
          <w:color w:val="215E99" w:themeColor="text2" w:themeTint="BF"/>
        </w:rPr>
        <w:t>Once public market accounts are in balance, consider private equity, real estate or other alternative strategies that fit your risk profile and liquidity needs. The key is intentional sizing</w:t>
      </w:r>
      <w:r w:rsidR="008353BA">
        <w:rPr>
          <w:rFonts w:ascii="Acumin Pro Condensed" w:hAnsi="Acumin Pro Condensed"/>
          <w:color w:val="215E99" w:themeColor="text2" w:themeTint="BF"/>
        </w:rPr>
        <w:t xml:space="preserve">, meaning </w:t>
      </w:r>
      <w:r w:rsidRPr="008353BA">
        <w:rPr>
          <w:rFonts w:ascii="Acumin Pro Condensed" w:hAnsi="Acumin Pro Condensed"/>
          <w:color w:val="215E99" w:themeColor="text2" w:themeTint="BF"/>
        </w:rPr>
        <w:t>alternatives should enhance, not derail, your broader plan.</w:t>
      </w:r>
    </w:p>
    <w:p w14:paraId="3D30D97D" w14:textId="6341C3EC" w:rsidR="00B77CB4" w:rsidRPr="00B77CB4" w:rsidRDefault="00BD0ACC" w:rsidP="00B77CB4">
      <w:pPr>
        <w:spacing w:after="240"/>
        <w:rPr>
          <w:rFonts w:ascii="Acumin Pro Condensed" w:hAnsi="Acumin Pro Condensed"/>
          <w:color w:val="215E99" w:themeColor="text2" w:themeTint="BF"/>
        </w:rPr>
      </w:pPr>
      <w:r w:rsidRPr="00BD0ACC">
        <w:rPr>
          <w:rFonts w:ascii="Acumin Pro Condensed" w:hAnsi="Acumin Pro Condensed"/>
          <w:color w:val="215E99" w:themeColor="text2" w:themeTint="BF"/>
        </w:rPr>
        <w:t>The right mix depends on how much liquidity you need, your current and projected tax brackets</w:t>
      </w:r>
      <w:r w:rsidR="00A6651E">
        <w:rPr>
          <w:rFonts w:ascii="Acumin Pro Condensed" w:hAnsi="Acumin Pro Condensed"/>
          <w:color w:val="215E99" w:themeColor="text2" w:themeTint="BF"/>
        </w:rPr>
        <w:t xml:space="preserve"> </w:t>
      </w:r>
      <w:r w:rsidRPr="00BD0ACC">
        <w:rPr>
          <w:rFonts w:ascii="Acumin Pro Condensed" w:hAnsi="Acumin Pro Condensed"/>
          <w:color w:val="215E99" w:themeColor="text2" w:themeTint="BF"/>
        </w:rPr>
        <w:t>and how you plan to use your capital before and after retirement. For high earners, placement is as important as performance.</w:t>
      </w:r>
    </w:p>
    <w:p w14:paraId="39E8C84A" w14:textId="77777777" w:rsidR="00B77CB4" w:rsidRPr="00AA3F9F" w:rsidRDefault="00B77CB4" w:rsidP="00B77CB4">
      <w:pPr>
        <w:pStyle w:val="ListParagraph"/>
        <w:numPr>
          <w:ilvl w:val="0"/>
          <w:numId w:val="1"/>
        </w:numPr>
        <w:spacing w:after="240"/>
        <w:rPr>
          <w:rFonts w:ascii="Acumin Pro Condensed" w:hAnsi="Acumin Pro Condensed"/>
          <w:b/>
          <w:bCs/>
          <w:color w:val="215E99" w:themeColor="text2" w:themeTint="BF"/>
        </w:rPr>
      </w:pPr>
      <w:r>
        <w:rPr>
          <w:rFonts w:ascii="Acumin Pro Condensed" w:hAnsi="Acumin Pro Condensed"/>
          <w:b/>
          <w:bCs/>
          <w:color w:val="215E99" w:themeColor="text2" w:themeTint="BF"/>
        </w:rPr>
        <w:t>Protect Your Most Valuable Asset: Your Income</w:t>
      </w:r>
    </w:p>
    <w:p w14:paraId="619BFFFF" w14:textId="0C87CB4A" w:rsidR="008353BA" w:rsidRDefault="008353BA" w:rsidP="008353BA">
      <w:pPr>
        <w:spacing w:after="240"/>
        <w:rPr>
          <w:rFonts w:ascii="Acumin Pro Condensed" w:hAnsi="Acumin Pro Condensed"/>
          <w:color w:val="215E99" w:themeColor="text2" w:themeTint="BF"/>
        </w:rPr>
      </w:pPr>
      <w:r w:rsidRPr="008353BA">
        <w:rPr>
          <w:rFonts w:ascii="Acumin Pro Condensed" w:hAnsi="Acumin Pro Condensed"/>
          <w:color w:val="215E99" w:themeColor="text2" w:themeTint="BF"/>
        </w:rPr>
        <w:t xml:space="preserve">For high earners, </w:t>
      </w:r>
      <w:r>
        <w:rPr>
          <w:rFonts w:ascii="Acumin Pro Condensed" w:hAnsi="Acumin Pro Condensed"/>
          <w:color w:val="215E99" w:themeColor="text2" w:themeTint="BF"/>
        </w:rPr>
        <w:t xml:space="preserve">the </w:t>
      </w:r>
      <w:r w:rsidRPr="008353BA">
        <w:rPr>
          <w:rFonts w:ascii="Acumin Pro Condensed" w:hAnsi="Acumin Pro Condensed"/>
          <w:color w:val="215E99" w:themeColor="text2" w:themeTint="BF"/>
        </w:rPr>
        <w:t>ability to generate income is the single largest driver of long-term wealth. It’s also more fragile than most people think. A</w:t>
      </w:r>
      <w:r>
        <w:rPr>
          <w:rFonts w:ascii="Acumin Pro Condensed" w:hAnsi="Acumin Pro Condensed"/>
          <w:color w:val="215E99" w:themeColor="text2" w:themeTint="BF"/>
        </w:rPr>
        <w:t xml:space="preserve">n </w:t>
      </w:r>
      <w:r w:rsidRPr="008353BA">
        <w:rPr>
          <w:rFonts w:ascii="Acumin Pro Condensed" w:hAnsi="Acumin Pro Condensed"/>
          <w:color w:val="215E99" w:themeColor="text2" w:themeTint="BF"/>
        </w:rPr>
        <w:t>equity grant that vests at the wrong time</w:t>
      </w:r>
      <w:r>
        <w:rPr>
          <w:rFonts w:ascii="Acumin Pro Condensed" w:hAnsi="Acumin Pro Condensed"/>
          <w:color w:val="215E99" w:themeColor="text2" w:themeTint="BF"/>
        </w:rPr>
        <w:t xml:space="preserve"> </w:t>
      </w:r>
      <w:r w:rsidRPr="008353BA">
        <w:rPr>
          <w:rFonts w:ascii="Acumin Pro Condensed" w:hAnsi="Acumin Pro Condensed"/>
          <w:color w:val="215E99" w:themeColor="text2" w:themeTint="BF"/>
        </w:rPr>
        <w:t xml:space="preserve">or an unexpected health event can shift your trajectory dramatically. Protecting this engine is as important as growing it. </w:t>
      </w:r>
      <w:r>
        <w:rPr>
          <w:rFonts w:ascii="Acumin Pro Condensed" w:hAnsi="Acumin Pro Condensed"/>
          <w:color w:val="215E99" w:themeColor="text2" w:themeTint="BF"/>
        </w:rPr>
        <w:t>You may want to consider:</w:t>
      </w:r>
    </w:p>
    <w:p w14:paraId="2770D4E3" w14:textId="1BB55B11" w:rsidR="008353BA" w:rsidRDefault="008353BA" w:rsidP="008353BA">
      <w:pPr>
        <w:pStyle w:val="ListParagraph"/>
        <w:numPr>
          <w:ilvl w:val="0"/>
          <w:numId w:val="13"/>
        </w:numPr>
        <w:spacing w:after="240"/>
        <w:rPr>
          <w:rFonts w:ascii="Acumin Pro Condensed" w:hAnsi="Acumin Pro Condensed"/>
          <w:color w:val="215E99" w:themeColor="text2" w:themeTint="BF"/>
        </w:rPr>
      </w:pPr>
      <w:r w:rsidRPr="008353BA">
        <w:rPr>
          <w:rFonts w:ascii="Acumin Pro Condensed" w:hAnsi="Acumin Pro Condensed"/>
          <w:color w:val="215E99" w:themeColor="text2" w:themeTint="BF"/>
        </w:rPr>
        <w:t>Disability insurance built for high earners: Group policies often cap benefits at levels far below your actual compensation, especially when bonuses and equity aren’t covered. Private “own-occupation” policies can insure a much larger portion of your income and protect specialized skillsets. For business owners, policies can</w:t>
      </w:r>
      <w:r>
        <w:rPr>
          <w:rFonts w:ascii="Acumin Pro Condensed" w:hAnsi="Acumin Pro Condensed"/>
          <w:color w:val="215E99" w:themeColor="text2" w:themeTint="BF"/>
        </w:rPr>
        <w:t xml:space="preserve"> even</w:t>
      </w:r>
      <w:r w:rsidRPr="008353BA">
        <w:rPr>
          <w:rFonts w:ascii="Acumin Pro Condensed" w:hAnsi="Acumin Pro Condensed"/>
          <w:color w:val="215E99" w:themeColor="text2" w:themeTint="BF"/>
        </w:rPr>
        <w:t xml:space="preserve"> be structured to </w:t>
      </w:r>
      <w:r w:rsidR="004E0B04">
        <w:rPr>
          <w:rFonts w:ascii="Acumin Pro Condensed" w:hAnsi="Acumin Pro Condensed"/>
          <w:color w:val="215E99" w:themeColor="text2" w:themeTint="BF"/>
        </w:rPr>
        <w:t xml:space="preserve">help </w:t>
      </w:r>
      <w:r w:rsidRPr="008353BA">
        <w:rPr>
          <w:rFonts w:ascii="Acumin Pro Condensed" w:hAnsi="Acumin Pro Condensed"/>
          <w:color w:val="215E99" w:themeColor="text2" w:themeTint="BF"/>
        </w:rPr>
        <w:t xml:space="preserve">protect </w:t>
      </w:r>
      <w:r w:rsidR="004E0B04">
        <w:rPr>
          <w:rFonts w:ascii="Acumin Pro Condensed" w:hAnsi="Acumin Pro Condensed"/>
          <w:color w:val="215E99" w:themeColor="text2" w:themeTint="BF"/>
        </w:rPr>
        <w:t xml:space="preserve">a portion of </w:t>
      </w:r>
      <w:r w:rsidRPr="008353BA">
        <w:rPr>
          <w:rFonts w:ascii="Acumin Pro Condensed" w:hAnsi="Acumin Pro Condensed"/>
          <w:color w:val="215E99" w:themeColor="text2" w:themeTint="BF"/>
        </w:rPr>
        <w:t>both salary and business overhead.</w:t>
      </w:r>
    </w:p>
    <w:p w14:paraId="7E58216B" w14:textId="4676FD37" w:rsidR="006C6A94" w:rsidRDefault="008353BA" w:rsidP="008353BA">
      <w:pPr>
        <w:pStyle w:val="ListParagraph"/>
        <w:numPr>
          <w:ilvl w:val="0"/>
          <w:numId w:val="13"/>
        </w:numPr>
        <w:spacing w:after="240"/>
        <w:rPr>
          <w:rFonts w:ascii="Acumin Pro Condensed" w:hAnsi="Acumin Pro Condensed"/>
          <w:color w:val="215E99" w:themeColor="text2" w:themeTint="BF"/>
        </w:rPr>
      </w:pPr>
      <w:r w:rsidRPr="006C6A94">
        <w:rPr>
          <w:rFonts w:ascii="Acumin Pro Condensed" w:hAnsi="Acumin Pro Condensed"/>
          <w:color w:val="215E99" w:themeColor="text2" w:themeTint="BF"/>
        </w:rPr>
        <w:t>Protect</w:t>
      </w:r>
      <w:r w:rsidR="006C6A94">
        <w:rPr>
          <w:rFonts w:ascii="Acumin Pro Condensed" w:hAnsi="Acumin Pro Condensed"/>
          <w:color w:val="215E99" w:themeColor="text2" w:themeTint="BF"/>
        </w:rPr>
        <w:t>ing</w:t>
      </w:r>
      <w:r w:rsidRPr="006C6A94">
        <w:rPr>
          <w:rFonts w:ascii="Acumin Pro Condensed" w:hAnsi="Acumin Pro Condensed"/>
          <w:color w:val="215E99" w:themeColor="text2" w:themeTint="BF"/>
        </w:rPr>
        <w:t xml:space="preserve"> equity and bonus-heavy compensation</w:t>
      </w:r>
      <w:r w:rsidR="006C6A94">
        <w:rPr>
          <w:rFonts w:ascii="Acumin Pro Condensed" w:hAnsi="Acumin Pro Condensed"/>
          <w:color w:val="215E99" w:themeColor="text2" w:themeTint="BF"/>
        </w:rPr>
        <w:t xml:space="preserve">: </w:t>
      </w:r>
      <w:r w:rsidRPr="006C6A94">
        <w:rPr>
          <w:rFonts w:ascii="Acumin Pro Condensed" w:hAnsi="Acumin Pro Condensed"/>
          <w:color w:val="215E99" w:themeColor="text2" w:themeTint="BF"/>
        </w:rPr>
        <w:t xml:space="preserve">For clients with RSUs, stock options or profit interests, income protection </w:t>
      </w:r>
      <w:r w:rsidR="006C6A94">
        <w:rPr>
          <w:rFonts w:ascii="Acumin Pro Condensed" w:hAnsi="Acumin Pro Condensed"/>
          <w:color w:val="215E99" w:themeColor="text2" w:themeTint="BF"/>
        </w:rPr>
        <w:t>is partially about timing</w:t>
      </w:r>
      <w:r w:rsidRPr="006C6A94">
        <w:rPr>
          <w:rFonts w:ascii="Acumin Pro Condensed" w:hAnsi="Acumin Pro Condensed"/>
          <w:color w:val="215E99" w:themeColor="text2" w:themeTint="BF"/>
        </w:rPr>
        <w:t xml:space="preserve">. Work with your advisor to stagger sales, </w:t>
      </w:r>
      <w:r w:rsidR="00704C03">
        <w:rPr>
          <w:rFonts w:ascii="Acumin Pro Condensed" w:hAnsi="Acumin Pro Condensed"/>
          <w:color w:val="215E99" w:themeColor="text2" w:themeTint="BF"/>
        </w:rPr>
        <w:t xml:space="preserve">strategically </w:t>
      </w:r>
      <w:r w:rsidRPr="006C6A94">
        <w:rPr>
          <w:rFonts w:ascii="Acumin Pro Condensed" w:hAnsi="Acumin Pro Condensed"/>
          <w:color w:val="215E99" w:themeColor="text2" w:themeTint="BF"/>
        </w:rPr>
        <w:t xml:space="preserve">plan </w:t>
      </w:r>
      <w:r w:rsidR="004869D3">
        <w:rPr>
          <w:rFonts w:ascii="Acumin Pro Condensed" w:hAnsi="Acumin Pro Condensed"/>
          <w:color w:val="215E99" w:themeColor="text2" w:themeTint="BF"/>
        </w:rPr>
        <w:t xml:space="preserve">your </w:t>
      </w:r>
      <w:r w:rsidRPr="006C6A94">
        <w:rPr>
          <w:rFonts w:ascii="Acumin Pro Condensed" w:hAnsi="Acumin Pro Condensed"/>
          <w:color w:val="215E99" w:themeColor="text2" w:themeTint="BF"/>
        </w:rPr>
        <w:t xml:space="preserve">10b5-1 trades </w:t>
      </w:r>
      <w:r w:rsidR="00704C03">
        <w:rPr>
          <w:rFonts w:ascii="Acumin Pro Condensed" w:hAnsi="Acumin Pro Condensed"/>
          <w:color w:val="215E99" w:themeColor="text2" w:themeTint="BF"/>
        </w:rPr>
        <w:t>and</w:t>
      </w:r>
      <w:r w:rsidRPr="006C6A94">
        <w:rPr>
          <w:rFonts w:ascii="Acumin Pro Condensed" w:hAnsi="Acumin Pro Condensed"/>
          <w:color w:val="215E99" w:themeColor="text2" w:themeTint="BF"/>
        </w:rPr>
        <w:t xml:space="preserve"> hedge concentrated positions so you’re not forced to sell in a downturn.</w:t>
      </w:r>
    </w:p>
    <w:p w14:paraId="00A6FF19" w14:textId="29EC2CDE" w:rsidR="006C6A94" w:rsidRDefault="008353BA" w:rsidP="008353BA">
      <w:pPr>
        <w:pStyle w:val="ListParagraph"/>
        <w:numPr>
          <w:ilvl w:val="0"/>
          <w:numId w:val="13"/>
        </w:numPr>
        <w:spacing w:after="240"/>
        <w:rPr>
          <w:rFonts w:ascii="Acumin Pro Condensed" w:hAnsi="Acumin Pro Condensed"/>
          <w:color w:val="215E99" w:themeColor="text2" w:themeTint="BF"/>
        </w:rPr>
      </w:pPr>
      <w:r w:rsidRPr="006C6A94">
        <w:rPr>
          <w:rFonts w:ascii="Acumin Pro Condensed" w:hAnsi="Acumin Pro Condensed"/>
          <w:color w:val="215E99" w:themeColor="text2" w:themeTint="BF"/>
        </w:rPr>
        <w:t>Build</w:t>
      </w:r>
      <w:r w:rsidR="006C6A94">
        <w:rPr>
          <w:rFonts w:ascii="Acumin Pro Condensed" w:hAnsi="Acumin Pro Condensed"/>
          <w:color w:val="215E99" w:themeColor="text2" w:themeTint="BF"/>
        </w:rPr>
        <w:t>ing</w:t>
      </w:r>
      <w:r w:rsidRPr="006C6A94">
        <w:rPr>
          <w:rFonts w:ascii="Acumin Pro Condensed" w:hAnsi="Acumin Pro Condensed"/>
          <w:color w:val="215E99" w:themeColor="text2" w:themeTint="BF"/>
        </w:rPr>
        <w:t xml:space="preserve"> legal and structural safeguards</w:t>
      </w:r>
      <w:r w:rsidR="006C6A94">
        <w:rPr>
          <w:rFonts w:ascii="Acumin Pro Condensed" w:hAnsi="Acumin Pro Condensed"/>
          <w:color w:val="215E99" w:themeColor="text2" w:themeTint="BF"/>
        </w:rPr>
        <w:t xml:space="preserve">: </w:t>
      </w:r>
      <w:r w:rsidRPr="006C6A94">
        <w:rPr>
          <w:rFonts w:ascii="Acumin Pro Condensed" w:hAnsi="Acumin Pro Condensed"/>
          <w:color w:val="215E99" w:themeColor="text2" w:themeTint="BF"/>
        </w:rPr>
        <w:t>Durable powers of attorney, healthcare proxies and succession planning for business interests ensure that if you can’t make decisions, someone you trust can.</w:t>
      </w:r>
    </w:p>
    <w:p w14:paraId="205F503C" w14:textId="28E8A3E2" w:rsidR="008353BA" w:rsidRPr="006C6A94" w:rsidRDefault="008353BA" w:rsidP="008353BA">
      <w:pPr>
        <w:pStyle w:val="ListParagraph"/>
        <w:numPr>
          <w:ilvl w:val="0"/>
          <w:numId w:val="13"/>
        </w:numPr>
        <w:spacing w:after="240"/>
        <w:rPr>
          <w:rFonts w:ascii="Acumin Pro Condensed" w:hAnsi="Acumin Pro Condensed"/>
          <w:color w:val="215E99" w:themeColor="text2" w:themeTint="BF"/>
        </w:rPr>
      </w:pPr>
      <w:r w:rsidRPr="006C6A94">
        <w:rPr>
          <w:rFonts w:ascii="Acumin Pro Condensed" w:hAnsi="Acumin Pro Condensed"/>
          <w:color w:val="215E99" w:themeColor="text2" w:themeTint="BF"/>
        </w:rPr>
        <w:lastRenderedPageBreak/>
        <w:t xml:space="preserve">Asset protection strategies: Depending on your state and profession, tools like irrevocable trusts, </w:t>
      </w:r>
      <w:r w:rsidR="00CA5820">
        <w:rPr>
          <w:rFonts w:ascii="Acumin Pro Condensed" w:hAnsi="Acumin Pro Condensed"/>
          <w:color w:val="215E99" w:themeColor="text2" w:themeTint="BF"/>
        </w:rPr>
        <w:t xml:space="preserve">family limited partnerships, </w:t>
      </w:r>
      <w:r w:rsidRPr="006C6A94">
        <w:rPr>
          <w:rFonts w:ascii="Acumin Pro Condensed" w:hAnsi="Acumin Pro Condensed"/>
          <w:color w:val="215E99" w:themeColor="text2" w:themeTint="BF"/>
        </w:rPr>
        <w:t>LLCs</w:t>
      </w:r>
      <w:r w:rsidR="00BF7372">
        <w:rPr>
          <w:rFonts w:ascii="Acumin Pro Condensed" w:hAnsi="Acumin Pro Condensed"/>
          <w:color w:val="215E99" w:themeColor="text2" w:themeTint="BF"/>
        </w:rPr>
        <w:t xml:space="preserve"> </w:t>
      </w:r>
      <w:r w:rsidRPr="006C6A94">
        <w:rPr>
          <w:rFonts w:ascii="Acumin Pro Condensed" w:hAnsi="Acumin Pro Condensed"/>
          <w:color w:val="215E99" w:themeColor="text2" w:themeTint="BF"/>
        </w:rPr>
        <w:t>or umbrella liability insurance can protect accumulated assets from future claims.</w:t>
      </w:r>
    </w:p>
    <w:p w14:paraId="6FFCD614" w14:textId="0395D1FC" w:rsidR="008353BA" w:rsidRDefault="008353BA" w:rsidP="008353BA">
      <w:pPr>
        <w:spacing w:after="240"/>
        <w:rPr>
          <w:rFonts w:ascii="Acumin Pro Condensed" w:hAnsi="Acumin Pro Condensed"/>
          <w:color w:val="215E99" w:themeColor="text2" w:themeTint="BF"/>
        </w:rPr>
      </w:pPr>
      <w:r w:rsidRPr="008353BA">
        <w:rPr>
          <w:rFonts w:ascii="Acumin Pro Condensed" w:hAnsi="Acumin Pro Condensed"/>
          <w:color w:val="215E99" w:themeColor="text2" w:themeTint="BF"/>
        </w:rPr>
        <w:t>High earners often focus on maximizing growth but underestimate how quickly an income shock can undo years of progress. A strong plan covers both offense (growing wealth) and defense (preserving the means to create it).</w:t>
      </w:r>
    </w:p>
    <w:p w14:paraId="10813F66" w14:textId="77777777" w:rsidR="008353BA" w:rsidRDefault="008353BA" w:rsidP="00B77CB4">
      <w:pPr>
        <w:spacing w:after="240"/>
        <w:rPr>
          <w:rFonts w:ascii="Acumin Pro Condensed" w:hAnsi="Acumin Pro Condensed"/>
          <w:color w:val="215E99" w:themeColor="text2" w:themeTint="BF"/>
        </w:rPr>
      </w:pPr>
    </w:p>
    <w:p w14:paraId="7BE82AA3" w14:textId="77777777" w:rsidR="008353BA" w:rsidRDefault="008353BA" w:rsidP="00B77CB4">
      <w:pPr>
        <w:spacing w:after="240"/>
        <w:rPr>
          <w:rFonts w:ascii="Acumin Pro Condensed" w:hAnsi="Acumin Pro Condensed"/>
          <w:color w:val="215E99" w:themeColor="text2" w:themeTint="BF"/>
        </w:rPr>
      </w:pPr>
    </w:p>
    <w:p w14:paraId="438EA8C5" w14:textId="77777777" w:rsidR="00CD444A" w:rsidRPr="00CD444A" w:rsidRDefault="00CD444A" w:rsidP="00CD444A">
      <w:pPr>
        <w:pStyle w:val="ListParagraph"/>
        <w:spacing w:after="240"/>
        <w:ind w:left="1080"/>
        <w:rPr>
          <w:rFonts w:ascii="Acumin Pro Condensed" w:hAnsi="Acumin Pro Condensed"/>
          <w:color w:val="215E99" w:themeColor="text2" w:themeTint="BF"/>
        </w:rPr>
      </w:pPr>
    </w:p>
    <w:p w14:paraId="5C7CEF46" w14:textId="2E7E6FAA" w:rsidR="00B77CB4" w:rsidRPr="00262990" w:rsidRDefault="00B77CB4" w:rsidP="00B77CB4">
      <w:pPr>
        <w:pStyle w:val="ListParagraph"/>
        <w:numPr>
          <w:ilvl w:val="0"/>
          <w:numId w:val="1"/>
        </w:numPr>
        <w:spacing w:after="240"/>
        <w:rPr>
          <w:rFonts w:ascii="Acumin Pro Condensed" w:hAnsi="Acumin Pro Condensed"/>
          <w:color w:val="215E99" w:themeColor="text2" w:themeTint="BF"/>
        </w:rPr>
      </w:pPr>
      <w:r>
        <w:rPr>
          <w:rFonts w:ascii="Acumin Pro Condensed" w:hAnsi="Acumin Pro Condensed"/>
          <w:b/>
          <w:bCs/>
          <w:color w:val="215E99" w:themeColor="text2" w:themeTint="BF"/>
        </w:rPr>
        <w:t>Simplify to Reduce Decision Fatigue</w:t>
      </w:r>
    </w:p>
    <w:p w14:paraId="32C85775" w14:textId="31388A12" w:rsidR="006C6A94" w:rsidRPr="006C6A94" w:rsidRDefault="006C6A94" w:rsidP="006C6A94">
      <w:pPr>
        <w:spacing w:after="240"/>
        <w:rPr>
          <w:rFonts w:ascii="Acumin Pro Condensed" w:hAnsi="Acumin Pro Condensed"/>
          <w:color w:val="215E99" w:themeColor="text2" w:themeTint="BF"/>
        </w:rPr>
      </w:pPr>
      <w:r w:rsidRPr="006C6A94">
        <w:rPr>
          <w:rFonts w:ascii="Acumin Pro Condensed" w:hAnsi="Acumin Pro Condensed"/>
          <w:color w:val="215E99" w:themeColor="text2" w:themeTint="BF"/>
        </w:rPr>
        <w:t>The more success you have, the more complexity creeps in</w:t>
      </w:r>
      <w:r>
        <w:rPr>
          <w:rFonts w:ascii="Acumin Pro Condensed" w:hAnsi="Acumin Pro Condensed"/>
          <w:color w:val="215E99" w:themeColor="text2" w:themeTint="BF"/>
        </w:rPr>
        <w:t>:</w:t>
      </w:r>
      <w:r w:rsidRPr="006C6A94">
        <w:rPr>
          <w:rFonts w:ascii="Acumin Pro Condensed" w:hAnsi="Acumin Pro Condensed"/>
          <w:color w:val="215E99" w:themeColor="text2" w:themeTint="BF"/>
        </w:rPr>
        <w:t xml:space="preserve"> multiple bank accounts, old retirement plans, equity accounts at different custodians, investments in friends’ businesses</w:t>
      </w:r>
      <w:r>
        <w:rPr>
          <w:rFonts w:ascii="Acumin Pro Condensed" w:hAnsi="Acumin Pro Condensed"/>
          <w:color w:val="215E99" w:themeColor="text2" w:themeTint="BF"/>
        </w:rPr>
        <w:t xml:space="preserve"> and </w:t>
      </w:r>
      <w:r w:rsidRPr="006C6A94">
        <w:rPr>
          <w:rFonts w:ascii="Acumin Pro Condensed" w:hAnsi="Acumin Pro Condensed"/>
          <w:color w:val="215E99" w:themeColor="text2" w:themeTint="BF"/>
        </w:rPr>
        <w:t>maybe even multiple homes. Each extra layer takes time, attention and mental bandwidth</w:t>
      </w:r>
      <w:r>
        <w:rPr>
          <w:rFonts w:ascii="Acumin Pro Condensed" w:hAnsi="Acumin Pro Condensed"/>
          <w:color w:val="215E99" w:themeColor="text2" w:themeTint="BF"/>
        </w:rPr>
        <w:t xml:space="preserve">, making it harder to spot and act on the important decisions. Some tips we have found help our clients: </w:t>
      </w:r>
    </w:p>
    <w:p w14:paraId="45A5EB2D" w14:textId="77777777" w:rsidR="006C6A94" w:rsidRDefault="006C6A94" w:rsidP="006C6A94">
      <w:pPr>
        <w:pStyle w:val="ListParagraph"/>
        <w:numPr>
          <w:ilvl w:val="0"/>
          <w:numId w:val="14"/>
        </w:numPr>
        <w:spacing w:after="240"/>
        <w:rPr>
          <w:rFonts w:ascii="Acumin Pro Condensed" w:hAnsi="Acumin Pro Condensed"/>
          <w:color w:val="215E99" w:themeColor="text2" w:themeTint="BF"/>
        </w:rPr>
      </w:pPr>
      <w:r w:rsidRPr="006C6A94">
        <w:rPr>
          <w:rFonts w:ascii="Acumin Pro Condensed" w:hAnsi="Acumin Pro Condensed"/>
          <w:color w:val="215E99" w:themeColor="text2" w:themeTint="BF"/>
        </w:rPr>
        <w:t>Consolidate where it makes sense</w:t>
      </w:r>
      <w:r>
        <w:rPr>
          <w:rFonts w:ascii="Acumin Pro Condensed" w:hAnsi="Acumin Pro Condensed"/>
          <w:color w:val="215E99" w:themeColor="text2" w:themeTint="BF"/>
        </w:rPr>
        <w:t xml:space="preserve">: </w:t>
      </w:r>
    </w:p>
    <w:p w14:paraId="0104566E" w14:textId="6BAD78FF" w:rsidR="006C6A94" w:rsidRDefault="004E0B04" w:rsidP="006C6A94">
      <w:pPr>
        <w:pStyle w:val="ListParagraph"/>
        <w:numPr>
          <w:ilvl w:val="1"/>
          <w:numId w:val="14"/>
        </w:numPr>
        <w:spacing w:after="240"/>
        <w:rPr>
          <w:rFonts w:ascii="Acumin Pro Condensed" w:hAnsi="Acumin Pro Condensed"/>
          <w:color w:val="215E99" w:themeColor="text2" w:themeTint="BF"/>
        </w:rPr>
      </w:pPr>
      <w:r>
        <w:rPr>
          <w:rFonts w:ascii="Acumin Pro Condensed" w:hAnsi="Acumin Pro Condensed"/>
          <w:color w:val="215E99" w:themeColor="text2" w:themeTint="BF"/>
        </w:rPr>
        <w:t>If it’s to your benefit, r</w:t>
      </w:r>
      <w:r w:rsidR="006C6A94" w:rsidRPr="006C6A94">
        <w:rPr>
          <w:rFonts w:ascii="Acumin Pro Condensed" w:hAnsi="Acumin Pro Condensed"/>
          <w:color w:val="215E99" w:themeColor="text2" w:themeTint="BF"/>
        </w:rPr>
        <w:t>oll old 401(k)s and IRAs into a central account so you’re not managing half a dozen statements or conflicting investment menus.</w:t>
      </w:r>
    </w:p>
    <w:p w14:paraId="0C0DE475" w14:textId="25EA5B47" w:rsidR="006C6A94" w:rsidRPr="006C6A94" w:rsidRDefault="006C6A94" w:rsidP="006C6A94">
      <w:pPr>
        <w:pStyle w:val="ListParagraph"/>
        <w:numPr>
          <w:ilvl w:val="1"/>
          <w:numId w:val="14"/>
        </w:numPr>
        <w:spacing w:after="240"/>
        <w:rPr>
          <w:rFonts w:ascii="Acumin Pro Condensed" w:hAnsi="Acumin Pro Condensed"/>
          <w:color w:val="215E99" w:themeColor="text2" w:themeTint="BF"/>
        </w:rPr>
      </w:pPr>
      <w:r w:rsidRPr="006C6A94">
        <w:rPr>
          <w:rFonts w:ascii="Acumin Pro Condensed" w:hAnsi="Acumin Pro Condensed"/>
          <w:color w:val="215E99" w:themeColor="text2" w:themeTint="BF"/>
        </w:rPr>
        <w:t>Keep fewer, larger accounts with coordinated strategies instead of scattering assets across platforms with no integration.</w:t>
      </w:r>
    </w:p>
    <w:p w14:paraId="0677EE59" w14:textId="77777777" w:rsidR="006C6A94" w:rsidRDefault="006C6A94" w:rsidP="006C6A94">
      <w:pPr>
        <w:pStyle w:val="ListParagraph"/>
        <w:numPr>
          <w:ilvl w:val="0"/>
          <w:numId w:val="14"/>
        </w:numPr>
        <w:spacing w:after="240"/>
        <w:rPr>
          <w:rFonts w:ascii="Acumin Pro Condensed" w:hAnsi="Acumin Pro Condensed"/>
          <w:color w:val="215E99" w:themeColor="text2" w:themeTint="BF"/>
        </w:rPr>
      </w:pPr>
      <w:r w:rsidRPr="006C6A94">
        <w:rPr>
          <w:rFonts w:ascii="Acumin Pro Condensed" w:hAnsi="Acumin Pro Condensed"/>
          <w:color w:val="215E99" w:themeColor="text2" w:themeTint="BF"/>
        </w:rPr>
        <w:t>Create hard rules you don’t revisit</w:t>
      </w:r>
      <w:r>
        <w:rPr>
          <w:rFonts w:ascii="Acumin Pro Condensed" w:hAnsi="Acumin Pro Condensed"/>
          <w:color w:val="215E99" w:themeColor="text2" w:themeTint="BF"/>
        </w:rPr>
        <w:t xml:space="preserve">: </w:t>
      </w:r>
    </w:p>
    <w:p w14:paraId="35F0FB38" w14:textId="77777777" w:rsidR="006C6A94" w:rsidRDefault="006C6A94" w:rsidP="006C6A94">
      <w:pPr>
        <w:pStyle w:val="ListParagraph"/>
        <w:numPr>
          <w:ilvl w:val="1"/>
          <w:numId w:val="14"/>
        </w:numPr>
        <w:spacing w:after="240"/>
        <w:rPr>
          <w:rFonts w:ascii="Acumin Pro Condensed" w:hAnsi="Acumin Pro Condensed"/>
          <w:color w:val="215E99" w:themeColor="text2" w:themeTint="BF"/>
        </w:rPr>
      </w:pPr>
      <w:r w:rsidRPr="006C6A94">
        <w:rPr>
          <w:rFonts w:ascii="Acumin Pro Condensed" w:hAnsi="Acumin Pro Condensed"/>
          <w:color w:val="215E99" w:themeColor="text2" w:themeTint="BF"/>
        </w:rPr>
        <w:t>Pre-set investment allocations and review quarterly, not daily.</w:t>
      </w:r>
    </w:p>
    <w:p w14:paraId="6A8326BD" w14:textId="77777777" w:rsidR="006C6A94" w:rsidRDefault="006C6A94" w:rsidP="006C6A94">
      <w:pPr>
        <w:pStyle w:val="ListParagraph"/>
        <w:numPr>
          <w:ilvl w:val="1"/>
          <w:numId w:val="14"/>
        </w:numPr>
        <w:spacing w:after="240"/>
        <w:rPr>
          <w:rFonts w:ascii="Acumin Pro Condensed" w:hAnsi="Acumin Pro Condensed"/>
          <w:color w:val="215E99" w:themeColor="text2" w:themeTint="BF"/>
        </w:rPr>
      </w:pPr>
      <w:r w:rsidRPr="006C6A94">
        <w:rPr>
          <w:rFonts w:ascii="Acumin Pro Condensed" w:hAnsi="Acumin Pro Condensed"/>
          <w:color w:val="215E99" w:themeColor="text2" w:themeTint="BF"/>
        </w:rPr>
        <w:t>Commit to a fixed savings rate (e.g., 25–30% of gross income) and automate the transfers.</w:t>
      </w:r>
    </w:p>
    <w:p w14:paraId="24CA010F" w14:textId="77777777" w:rsidR="006C6A94" w:rsidRDefault="006C6A94" w:rsidP="006C6A94">
      <w:pPr>
        <w:pStyle w:val="ListParagraph"/>
        <w:numPr>
          <w:ilvl w:val="1"/>
          <w:numId w:val="14"/>
        </w:numPr>
        <w:spacing w:after="240"/>
        <w:rPr>
          <w:rFonts w:ascii="Acumin Pro Condensed" w:hAnsi="Acumin Pro Condensed"/>
          <w:color w:val="215E99" w:themeColor="text2" w:themeTint="BF"/>
        </w:rPr>
      </w:pPr>
      <w:r w:rsidRPr="006C6A94">
        <w:rPr>
          <w:rFonts w:ascii="Acumin Pro Condensed" w:hAnsi="Acumin Pro Condensed"/>
          <w:color w:val="215E99" w:themeColor="text2" w:themeTint="BF"/>
        </w:rPr>
        <w:t>Set a policy for windfalls — e.g., 50% to taxable investments, 25% to long-term goals, 25% to lifestyle — so bonuses and liquidity events don’t require fresh debate every year.</w:t>
      </w:r>
    </w:p>
    <w:p w14:paraId="60B6139B" w14:textId="2D7F9FA0" w:rsidR="006C6A94" w:rsidRDefault="006C6A94" w:rsidP="006C6A94">
      <w:pPr>
        <w:pStyle w:val="ListParagraph"/>
        <w:numPr>
          <w:ilvl w:val="0"/>
          <w:numId w:val="14"/>
        </w:numPr>
        <w:spacing w:after="240"/>
        <w:rPr>
          <w:rFonts w:ascii="Acumin Pro Condensed" w:hAnsi="Acumin Pro Condensed"/>
          <w:color w:val="215E99" w:themeColor="text2" w:themeTint="BF"/>
        </w:rPr>
      </w:pPr>
      <w:r w:rsidRPr="006C6A94">
        <w:rPr>
          <w:rFonts w:ascii="Acumin Pro Condensed" w:hAnsi="Acumin Pro Condensed"/>
          <w:color w:val="215E99" w:themeColor="text2" w:themeTint="BF"/>
        </w:rPr>
        <w:t xml:space="preserve">Outsource the </w:t>
      </w:r>
      <w:r w:rsidR="00826B02">
        <w:rPr>
          <w:rFonts w:ascii="Acumin Pro Condensed" w:hAnsi="Acumin Pro Condensed"/>
          <w:color w:val="215E99" w:themeColor="text2" w:themeTint="BF"/>
        </w:rPr>
        <w:t>minutia</w:t>
      </w:r>
    </w:p>
    <w:p w14:paraId="24C4B2FB" w14:textId="77777777" w:rsidR="006C6A94" w:rsidRDefault="006C6A94" w:rsidP="006C6A94">
      <w:pPr>
        <w:pStyle w:val="ListParagraph"/>
        <w:numPr>
          <w:ilvl w:val="1"/>
          <w:numId w:val="14"/>
        </w:numPr>
        <w:spacing w:after="240"/>
        <w:rPr>
          <w:rFonts w:ascii="Acumin Pro Condensed" w:hAnsi="Acumin Pro Condensed"/>
          <w:color w:val="215E99" w:themeColor="text2" w:themeTint="BF"/>
        </w:rPr>
      </w:pPr>
      <w:r w:rsidRPr="006C6A94">
        <w:rPr>
          <w:rFonts w:ascii="Acumin Pro Condensed" w:hAnsi="Acumin Pro Condensed"/>
          <w:color w:val="215E99" w:themeColor="text2" w:themeTint="BF"/>
        </w:rPr>
        <w:t>Keep control of the decisions that matter most to you, but offload tracking, paperwork, and coordination to a</w:t>
      </w:r>
      <w:r>
        <w:rPr>
          <w:rFonts w:ascii="Acumin Pro Condensed" w:hAnsi="Acumin Pro Condensed"/>
          <w:color w:val="215E99" w:themeColor="text2" w:themeTint="BF"/>
        </w:rPr>
        <w:t xml:space="preserve">n advisor </w:t>
      </w:r>
      <w:r w:rsidRPr="006C6A94">
        <w:rPr>
          <w:rFonts w:ascii="Acumin Pro Condensed" w:hAnsi="Acumin Pro Condensed"/>
          <w:color w:val="215E99" w:themeColor="text2" w:themeTint="BF"/>
        </w:rPr>
        <w:t>so you can focus on strategy, not admin.</w:t>
      </w:r>
    </w:p>
    <w:p w14:paraId="65595CEC" w14:textId="0435F493" w:rsidR="006C6A94" w:rsidRPr="006C6A94" w:rsidRDefault="006C6A94" w:rsidP="006C6A94">
      <w:pPr>
        <w:pStyle w:val="ListParagraph"/>
        <w:numPr>
          <w:ilvl w:val="1"/>
          <w:numId w:val="14"/>
        </w:numPr>
        <w:spacing w:after="240"/>
        <w:rPr>
          <w:rFonts w:ascii="Acumin Pro Condensed" w:hAnsi="Acumin Pro Condensed"/>
          <w:color w:val="215E99" w:themeColor="text2" w:themeTint="BF"/>
        </w:rPr>
      </w:pPr>
      <w:r w:rsidRPr="006C6A94">
        <w:rPr>
          <w:rFonts w:ascii="Acumin Pro Condensed" w:hAnsi="Acumin Pro Condensed"/>
          <w:color w:val="215E99" w:themeColor="text2" w:themeTint="BF"/>
        </w:rPr>
        <w:t xml:space="preserve">For complex balance sheets, having one </w:t>
      </w:r>
      <w:r w:rsidR="00CA5820">
        <w:rPr>
          <w:rFonts w:ascii="Acumin Pro Condensed" w:hAnsi="Acumin Pro Condensed"/>
          <w:color w:val="215E99" w:themeColor="text2" w:themeTint="BF"/>
        </w:rPr>
        <w:t xml:space="preserve">holistic </w:t>
      </w:r>
      <w:r w:rsidRPr="006C6A94">
        <w:rPr>
          <w:rFonts w:ascii="Acumin Pro Condensed" w:hAnsi="Acumin Pro Condensed"/>
          <w:color w:val="215E99" w:themeColor="text2" w:themeTint="BF"/>
        </w:rPr>
        <w:t>advisor quarterback all the moving pieces avoids gaps and contradictions between different specialists.</w:t>
      </w:r>
    </w:p>
    <w:p w14:paraId="4D568A3C" w14:textId="6AA3CF70" w:rsidR="006C6A94" w:rsidRPr="006C6A94" w:rsidRDefault="006C6A94" w:rsidP="006C6A94">
      <w:pPr>
        <w:spacing w:after="240"/>
        <w:rPr>
          <w:rFonts w:ascii="Acumin Pro Condensed" w:hAnsi="Acumin Pro Condensed"/>
          <w:color w:val="215E99" w:themeColor="text2" w:themeTint="BF"/>
        </w:rPr>
      </w:pPr>
      <w:r w:rsidRPr="006C6A94">
        <w:rPr>
          <w:rFonts w:ascii="Acumin Pro Condensed" w:hAnsi="Acumin Pro Condensed"/>
          <w:color w:val="215E99" w:themeColor="text2" w:themeTint="BF"/>
        </w:rPr>
        <w:t>A streamlined structure frees you from daily maintenance and</w:t>
      </w:r>
      <w:r w:rsidR="004E0B04">
        <w:rPr>
          <w:rFonts w:ascii="Acumin Pro Condensed" w:hAnsi="Acumin Pro Condensed"/>
          <w:color w:val="215E99" w:themeColor="text2" w:themeTint="BF"/>
        </w:rPr>
        <w:t xml:space="preserve"> helps</w:t>
      </w:r>
      <w:r w:rsidRPr="006C6A94">
        <w:rPr>
          <w:rFonts w:ascii="Acumin Pro Condensed" w:hAnsi="Acumin Pro Condensed"/>
          <w:color w:val="215E99" w:themeColor="text2" w:themeTint="BF"/>
        </w:rPr>
        <w:t xml:space="preserve"> ensure the most important levers get your full attention when it matters.</w:t>
      </w:r>
    </w:p>
    <w:p w14:paraId="1757222D" w14:textId="4A44D2C4" w:rsidR="00B77CB4" w:rsidRPr="006C6A94" w:rsidRDefault="00B77CB4" w:rsidP="006C6A94">
      <w:pPr>
        <w:spacing w:after="240"/>
        <w:rPr>
          <w:rFonts w:ascii="Acumin Pro Condensed" w:hAnsi="Acumin Pro Condensed"/>
          <w:b/>
          <w:bCs/>
          <w:color w:val="215E99" w:themeColor="text2" w:themeTint="BF"/>
        </w:rPr>
      </w:pPr>
      <w:r w:rsidRPr="006C6A94">
        <w:rPr>
          <w:rFonts w:ascii="Acumin Pro Condensed" w:hAnsi="Acumin Pro Condensed"/>
          <w:b/>
          <w:bCs/>
          <w:color w:val="215E99" w:themeColor="text2" w:themeTint="BF"/>
        </w:rPr>
        <w:t>Conclusion: The Blueprint in Action</w:t>
      </w:r>
    </w:p>
    <w:p w14:paraId="110A3272" w14:textId="6115AAB4" w:rsidR="006C6A94" w:rsidRPr="006C6A94" w:rsidRDefault="006C6A94" w:rsidP="006C6A94">
      <w:pPr>
        <w:rPr>
          <w:rFonts w:ascii="Acumin Pro Condensed" w:hAnsi="Acumin Pro Condensed"/>
          <w:color w:val="005493"/>
        </w:rPr>
      </w:pPr>
      <w:r>
        <w:rPr>
          <w:rFonts w:ascii="Acumin Pro Condensed" w:hAnsi="Acumin Pro Condensed"/>
          <w:color w:val="005493"/>
        </w:rPr>
        <w:t xml:space="preserve">Your highest earning years have great potential, but without </w:t>
      </w:r>
      <w:r w:rsidRPr="006C6A94">
        <w:rPr>
          <w:rFonts w:ascii="Acumin Pro Condensed" w:hAnsi="Acumin Pro Condensed"/>
          <w:color w:val="005493"/>
        </w:rPr>
        <w:t>a system, much of that potential leaks away into taxes, lifestyle creep or assets that are hard to access when you need them.</w:t>
      </w:r>
      <w:r>
        <w:rPr>
          <w:rFonts w:ascii="Acumin Pro Condensed" w:hAnsi="Acumin Pro Condensed"/>
          <w:color w:val="005493"/>
        </w:rPr>
        <w:t xml:space="preserve"> We have found our most </w:t>
      </w:r>
      <w:r>
        <w:rPr>
          <w:rFonts w:ascii="Acumin Pro Condensed" w:hAnsi="Acumin Pro Condensed"/>
          <w:color w:val="005493"/>
        </w:rPr>
        <w:lastRenderedPageBreak/>
        <w:t xml:space="preserve">financially successful clients set up </w:t>
      </w:r>
      <w:r w:rsidRPr="006C6A94">
        <w:rPr>
          <w:rFonts w:ascii="Acumin Pro Condensed" w:hAnsi="Acumin Pro Condensed"/>
          <w:color w:val="005493"/>
        </w:rPr>
        <w:t xml:space="preserve">structures that work whether </w:t>
      </w:r>
      <w:r>
        <w:rPr>
          <w:rFonts w:ascii="Acumin Pro Condensed" w:hAnsi="Acumin Pro Condensed"/>
          <w:color w:val="005493"/>
        </w:rPr>
        <w:t>they</w:t>
      </w:r>
      <w:r w:rsidRPr="006C6A94">
        <w:rPr>
          <w:rFonts w:ascii="Acumin Pro Condensed" w:hAnsi="Acumin Pro Condensed"/>
          <w:color w:val="005493"/>
        </w:rPr>
        <w:t xml:space="preserve">’re in the office, on </w:t>
      </w:r>
      <w:r>
        <w:rPr>
          <w:rFonts w:ascii="Acumin Pro Condensed" w:hAnsi="Acumin Pro Condensed"/>
          <w:color w:val="005493"/>
        </w:rPr>
        <w:t xml:space="preserve">vacation or faced with life changes. </w:t>
      </w:r>
    </w:p>
    <w:p w14:paraId="4F3E06A2" w14:textId="77777777" w:rsidR="006C6A94" w:rsidRPr="006C6A94" w:rsidRDefault="006C6A94" w:rsidP="006C6A94">
      <w:pPr>
        <w:rPr>
          <w:rFonts w:ascii="Acumin Pro Condensed" w:hAnsi="Acumin Pro Condensed"/>
          <w:color w:val="005493"/>
        </w:rPr>
      </w:pPr>
    </w:p>
    <w:p w14:paraId="320775D3" w14:textId="35D95E37" w:rsidR="00B20447" w:rsidRPr="00B20447" w:rsidRDefault="006C6A94" w:rsidP="006C6A94">
      <w:pPr>
        <w:rPr>
          <w:rFonts w:ascii="Acumin Pro Condensed" w:hAnsi="Acumin Pro Condensed"/>
          <w:color w:val="005493"/>
        </w:rPr>
      </w:pPr>
      <w:r w:rsidRPr="006C6A94">
        <w:rPr>
          <w:rFonts w:ascii="Acumin Pro Condensed" w:hAnsi="Acumin Pro Condensed"/>
          <w:color w:val="005493"/>
        </w:rPr>
        <w:t xml:space="preserve">If you </w:t>
      </w:r>
      <w:r w:rsidR="000D3D2C">
        <w:rPr>
          <w:rFonts w:ascii="Acumin Pro Condensed" w:hAnsi="Acumin Pro Condensed"/>
          <w:color w:val="005493"/>
        </w:rPr>
        <w:t xml:space="preserve">protect the income that fuels your wealth, </w:t>
      </w:r>
      <w:r w:rsidRPr="006C6A94">
        <w:rPr>
          <w:rFonts w:ascii="Acumin Pro Condensed" w:hAnsi="Acumin Pro Condensed"/>
          <w:color w:val="005493"/>
        </w:rPr>
        <w:t>automate intelligently</w:t>
      </w:r>
      <w:r w:rsidR="000D3D2C">
        <w:rPr>
          <w:rFonts w:ascii="Acumin Pro Condensed" w:hAnsi="Acumin Pro Condensed"/>
          <w:color w:val="005493"/>
        </w:rPr>
        <w:t xml:space="preserve"> and </w:t>
      </w:r>
      <w:r w:rsidRPr="006C6A94">
        <w:rPr>
          <w:rFonts w:ascii="Acumin Pro Condensed" w:hAnsi="Acumin Pro Condensed"/>
          <w:color w:val="005493"/>
        </w:rPr>
        <w:t xml:space="preserve">place dollars </w:t>
      </w:r>
      <w:r w:rsidR="002F715C">
        <w:rPr>
          <w:rFonts w:ascii="Acumin Pro Condensed" w:hAnsi="Acumin Pro Condensed"/>
          <w:color w:val="005493"/>
        </w:rPr>
        <w:t>in an infrastructure that offers</w:t>
      </w:r>
      <w:r w:rsidRPr="006C6A94">
        <w:rPr>
          <w:rFonts w:ascii="Acumin Pro Condensed" w:hAnsi="Acumin Pro Condensed"/>
          <w:color w:val="005493"/>
        </w:rPr>
        <w:t xml:space="preserve"> both growth and flexibility, your wealth starts compounding without constant input from you.</w:t>
      </w:r>
      <w:r>
        <w:rPr>
          <w:rFonts w:ascii="Acumin Pro Condensed" w:hAnsi="Acumin Pro Condensed"/>
          <w:color w:val="005493"/>
        </w:rPr>
        <w:t xml:space="preserve"> That’s </w:t>
      </w:r>
      <w:r w:rsidRPr="006C6A94">
        <w:rPr>
          <w:rFonts w:ascii="Acumin Pro Condensed" w:hAnsi="Acumin Pro Condensed"/>
          <w:color w:val="005493"/>
        </w:rPr>
        <w:t xml:space="preserve">the real goal: the freedom to </w:t>
      </w:r>
      <w:r w:rsidR="00F4287F">
        <w:rPr>
          <w:rFonts w:ascii="Acumin Pro Condensed" w:hAnsi="Acumin Pro Condensed"/>
          <w:color w:val="005493"/>
        </w:rPr>
        <w:t>spend your time the way you want l</w:t>
      </w:r>
      <w:r w:rsidRPr="006C6A94">
        <w:rPr>
          <w:rFonts w:ascii="Acumin Pro Condensed" w:hAnsi="Acumin Pro Condensed"/>
          <w:color w:val="005493"/>
        </w:rPr>
        <w:t>ong before the traditional definition of “retirement.”</w:t>
      </w:r>
    </w:p>
    <w:sectPr w:rsidR="00B20447" w:rsidRPr="00B20447" w:rsidSect="00B20447">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B9932" w14:textId="77777777" w:rsidR="00920372" w:rsidRDefault="00920372" w:rsidP="00B20447">
      <w:r>
        <w:separator/>
      </w:r>
    </w:p>
  </w:endnote>
  <w:endnote w:type="continuationSeparator" w:id="0">
    <w:p w14:paraId="35E0F1D4" w14:textId="77777777" w:rsidR="00920372" w:rsidRDefault="00920372" w:rsidP="00B20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rts Mill Goudy">
    <w:altName w:val="Calibri"/>
    <w:charset w:val="00"/>
    <w:family w:val="auto"/>
    <w:pitch w:val="variable"/>
    <w:sig w:usb0="8000006F" w:usb1="00000042" w:usb2="00000000" w:usb3="00000000" w:csb0="00000093" w:csb1="00000000"/>
  </w:font>
  <w:font w:name="Acumin Pro Condensed">
    <w:altName w:val="Calibri"/>
    <w:panose1 w:val="00000000000000000000"/>
    <w:charset w:val="4D"/>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5BF68" w14:textId="77777777" w:rsidR="005E20A0" w:rsidRDefault="005E20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13931" w14:textId="30512FBA" w:rsidR="00B20447" w:rsidRPr="00B20447" w:rsidRDefault="00AF3F87" w:rsidP="00B20447">
    <w:pPr>
      <w:pStyle w:val="Footer"/>
      <w:jc w:val="center"/>
      <w:rPr>
        <w:rFonts w:ascii="Sorts Mill Goudy" w:hAnsi="Sorts Mill Goudy"/>
        <w:color w:val="005493"/>
        <w:sz w:val="18"/>
        <w:szCs w:val="18"/>
      </w:rPr>
    </w:pPr>
    <w:r w:rsidRPr="00D94376">
      <w:rPr>
        <w:rFonts w:ascii="Sorts Mill Goudy" w:hAnsi="Sorts Mill Goudy"/>
        <w:color w:val="0F4761" w:themeColor="accent1" w:themeShade="BF"/>
        <w:sz w:val="18"/>
        <w:szCs w:val="18"/>
      </w:rPr>
      <w:t>Neither MML Investors Services, LLC nor any of its subsidiaries, employees or representatives are authorized to give legal or tax advice.  Consult your own personal attorney legal or tax counsel for advice on specific legal and tax matters.</w:t>
    </w:r>
    <w:r w:rsidRPr="00D94376">
      <w:rPr>
        <w:rFonts w:ascii="Sorts Mill Goudy" w:hAnsi="Sorts Mill Goudy"/>
        <w:color w:val="0070C0"/>
        <w:sz w:val="18"/>
        <w:szCs w:val="18"/>
      </w:rPr>
      <w:br/>
    </w:r>
    <w:bookmarkStart w:id="0" w:name="_Hlk210205973"/>
    <w:bookmarkStart w:id="1" w:name="_Hlk210205974"/>
    <w:bookmarkStart w:id="2" w:name="_Hlk210205975"/>
    <w:bookmarkStart w:id="3" w:name="_Hlk210205976"/>
    <w:bookmarkStart w:id="4" w:name="_Hlk210205977"/>
    <w:bookmarkStart w:id="5" w:name="_Hlk210205978"/>
    <w:bookmarkStart w:id="6" w:name="_Hlk210205979"/>
    <w:bookmarkStart w:id="7" w:name="_Hlk210205980"/>
    <w:bookmarkStart w:id="8" w:name="_Hlk210205981"/>
    <w:bookmarkStart w:id="9" w:name="_Hlk210205982"/>
    <w:r w:rsidR="00B20447" w:rsidRPr="00B20447">
      <w:rPr>
        <w:rFonts w:ascii="Sorts Mill Goudy" w:hAnsi="Sorts Mill Goudy"/>
        <w:color w:val="005493"/>
        <w:sz w:val="18"/>
        <w:szCs w:val="18"/>
      </w:rPr>
      <w:t>SECURITIES AND INVESTMENT ADVISORY SERVICES ARE OFFERED THROUGH QUALIFIED REGISTERED REPRESENTATIVES OF MML INVESTORS SERVICES, LLC, MEMBER SIPC.</w:t>
    </w:r>
  </w:p>
  <w:p w14:paraId="3B7BC6A5" w14:textId="77777777" w:rsidR="00B20447" w:rsidRPr="00B20447" w:rsidRDefault="00B20447" w:rsidP="00B13FB9">
    <w:pPr>
      <w:pStyle w:val="Footer"/>
      <w:jc w:val="center"/>
      <w:rPr>
        <w:rFonts w:ascii="Sorts Mill Goudy" w:hAnsi="Sorts Mill Goudy"/>
        <w:color w:val="005493"/>
        <w:sz w:val="18"/>
        <w:szCs w:val="18"/>
      </w:rPr>
    </w:pPr>
    <w:r w:rsidRPr="00B20447">
      <w:rPr>
        <w:rFonts w:ascii="Sorts Mill Goudy" w:hAnsi="Sorts Mill Goudy"/>
        <w:color w:val="005493"/>
        <w:sz w:val="18"/>
        <w:szCs w:val="18"/>
      </w:rPr>
      <w:t>Azura Wealth Advisers is not a subsidiary or affiliate of MML Investors Services, LLC, or its affiliated companies.</w:t>
    </w:r>
  </w:p>
  <w:p w14:paraId="16808A7A" w14:textId="1AF98948" w:rsidR="00B20447" w:rsidRPr="00B20447" w:rsidRDefault="00B20447" w:rsidP="00B13FB9">
    <w:pPr>
      <w:pStyle w:val="Footer"/>
      <w:jc w:val="center"/>
      <w:rPr>
        <w:rFonts w:ascii="Sorts Mill Goudy" w:hAnsi="Sorts Mill Goudy"/>
        <w:color w:val="005493"/>
        <w:sz w:val="18"/>
        <w:szCs w:val="18"/>
      </w:rPr>
    </w:pPr>
    <w:r w:rsidRPr="00B20447">
      <w:rPr>
        <w:rFonts w:ascii="Sorts Mill Goudy" w:hAnsi="Sorts Mill Goudy"/>
        <w:color w:val="005493"/>
        <w:sz w:val="18"/>
        <w:szCs w:val="18"/>
      </w:rPr>
      <w:t>420 Lexington Ave 25th Fl Suite 2510, New York, NY 10170 (212) 578-0300 | CRN202</w:t>
    </w:r>
    <w:r w:rsidR="005E20A0">
      <w:rPr>
        <w:rFonts w:ascii="Sorts Mill Goudy" w:hAnsi="Sorts Mill Goudy"/>
        <w:color w:val="005493"/>
        <w:sz w:val="18"/>
        <w:szCs w:val="18"/>
      </w:rPr>
      <w:t>8</w:t>
    </w:r>
    <w:r w:rsidR="00047028">
      <w:rPr>
        <w:rFonts w:ascii="Sorts Mill Goudy" w:hAnsi="Sorts Mill Goudy"/>
        <w:color w:val="005493"/>
        <w:sz w:val="18"/>
        <w:szCs w:val="18"/>
      </w:rPr>
      <w:t>09</w:t>
    </w:r>
    <w:r w:rsidRPr="00B20447">
      <w:rPr>
        <w:rFonts w:ascii="Sorts Mill Goudy" w:hAnsi="Sorts Mill Goudy"/>
        <w:color w:val="005493"/>
        <w:sz w:val="18"/>
        <w:szCs w:val="18"/>
      </w:rPr>
      <w:t>-</w:t>
    </w:r>
    <w:r w:rsidR="00047028">
      <w:rPr>
        <w:rFonts w:ascii="Sorts Mill Goudy" w:hAnsi="Sorts Mill Goudy"/>
        <w:color w:val="005493"/>
        <w:sz w:val="18"/>
        <w:szCs w:val="18"/>
      </w:rPr>
      <w:t>9551844</w:t>
    </w:r>
    <w:bookmarkEnd w:id="0"/>
    <w:bookmarkEnd w:id="1"/>
    <w:bookmarkEnd w:id="2"/>
    <w:bookmarkEnd w:id="3"/>
    <w:bookmarkEnd w:id="4"/>
    <w:bookmarkEnd w:id="5"/>
    <w:bookmarkEnd w:id="6"/>
    <w:bookmarkEnd w:id="7"/>
    <w:bookmarkEnd w:id="8"/>
    <w:bookmarkEnd w:id="9"/>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1A52A" w14:textId="77777777" w:rsidR="005E20A0" w:rsidRDefault="005E2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46532" w14:textId="77777777" w:rsidR="00920372" w:rsidRDefault="00920372" w:rsidP="00B20447">
      <w:r>
        <w:separator/>
      </w:r>
    </w:p>
  </w:footnote>
  <w:footnote w:type="continuationSeparator" w:id="0">
    <w:p w14:paraId="1D1738F5" w14:textId="77777777" w:rsidR="00920372" w:rsidRDefault="00920372" w:rsidP="00B204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81EAD" w14:textId="77777777" w:rsidR="005E20A0" w:rsidRDefault="005E20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BD0A9" w14:textId="77777777" w:rsidR="00B20447" w:rsidRDefault="00B20447">
    <w:pPr>
      <w:pStyle w:val="Header"/>
    </w:pPr>
    <w:r>
      <w:rPr>
        <w:noProof/>
      </w:rPr>
      <w:drawing>
        <wp:inline distT="0" distB="0" distL="0" distR="0" wp14:anchorId="02805C08" wp14:editId="115751C9">
          <wp:extent cx="1412033" cy="555460"/>
          <wp:effectExtent l="0" t="0" r="0" b="3810"/>
          <wp:docPr id="1103510088"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510088"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84872" cy="58411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EB554" w14:textId="77777777" w:rsidR="005E20A0" w:rsidRDefault="005E20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D7742"/>
    <w:multiLevelType w:val="hybridMultilevel"/>
    <w:tmpl w:val="0D4C6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646C2E"/>
    <w:multiLevelType w:val="hybridMultilevel"/>
    <w:tmpl w:val="CD409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BE5F06"/>
    <w:multiLevelType w:val="multilevel"/>
    <w:tmpl w:val="78BA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BD5343"/>
    <w:multiLevelType w:val="hybridMultilevel"/>
    <w:tmpl w:val="CFB86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B738BF"/>
    <w:multiLevelType w:val="hybridMultilevel"/>
    <w:tmpl w:val="7CB23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EB06F0"/>
    <w:multiLevelType w:val="hybridMultilevel"/>
    <w:tmpl w:val="1D8E4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0B0F4F"/>
    <w:multiLevelType w:val="hybridMultilevel"/>
    <w:tmpl w:val="5B2866DC"/>
    <w:lvl w:ilvl="0" w:tplc="7CEE4D98">
      <w:start w:val="1"/>
      <w:numFmt w:val="upp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B9097D"/>
    <w:multiLevelType w:val="hybridMultilevel"/>
    <w:tmpl w:val="6D4A2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BA4E89"/>
    <w:multiLevelType w:val="hybridMultilevel"/>
    <w:tmpl w:val="31560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F85AEC"/>
    <w:multiLevelType w:val="hybridMultilevel"/>
    <w:tmpl w:val="02500B68"/>
    <w:lvl w:ilvl="0" w:tplc="0409000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72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D32CD6"/>
    <w:multiLevelType w:val="hybridMultilevel"/>
    <w:tmpl w:val="9E36E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4A075F"/>
    <w:multiLevelType w:val="hybridMultilevel"/>
    <w:tmpl w:val="F2869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9721D7"/>
    <w:multiLevelType w:val="hybridMultilevel"/>
    <w:tmpl w:val="84BE1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665B21"/>
    <w:multiLevelType w:val="hybridMultilevel"/>
    <w:tmpl w:val="9D625F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3962127">
    <w:abstractNumId w:val="6"/>
  </w:num>
  <w:num w:numId="2" w16cid:durableId="75783758">
    <w:abstractNumId w:val="1"/>
  </w:num>
  <w:num w:numId="3" w16cid:durableId="180360325">
    <w:abstractNumId w:val="11"/>
  </w:num>
  <w:num w:numId="4" w16cid:durableId="2118942113">
    <w:abstractNumId w:val="8"/>
  </w:num>
  <w:num w:numId="5" w16cid:durableId="70586113">
    <w:abstractNumId w:val="5"/>
  </w:num>
  <w:num w:numId="6" w16cid:durableId="2024478836">
    <w:abstractNumId w:val="2"/>
  </w:num>
  <w:num w:numId="7" w16cid:durableId="813644657">
    <w:abstractNumId w:val="4"/>
  </w:num>
  <w:num w:numId="8" w16cid:durableId="2100636463">
    <w:abstractNumId w:val="10"/>
  </w:num>
  <w:num w:numId="9" w16cid:durableId="1289627020">
    <w:abstractNumId w:val="3"/>
  </w:num>
  <w:num w:numId="10" w16cid:durableId="1786921552">
    <w:abstractNumId w:val="12"/>
  </w:num>
  <w:num w:numId="11" w16cid:durableId="1068386678">
    <w:abstractNumId w:val="9"/>
  </w:num>
  <w:num w:numId="12" w16cid:durableId="1048064836">
    <w:abstractNumId w:val="13"/>
  </w:num>
  <w:num w:numId="13" w16cid:durableId="506409285">
    <w:abstractNumId w:val="7"/>
  </w:num>
  <w:num w:numId="14" w16cid:durableId="2106874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CB4"/>
    <w:rsid w:val="00004F90"/>
    <w:rsid w:val="00047028"/>
    <w:rsid w:val="000D3D2C"/>
    <w:rsid w:val="000E1F72"/>
    <w:rsid w:val="000E7ECD"/>
    <w:rsid w:val="001321AF"/>
    <w:rsid w:val="0014672C"/>
    <w:rsid w:val="0020009C"/>
    <w:rsid w:val="002C347A"/>
    <w:rsid w:val="002F715C"/>
    <w:rsid w:val="003A7DCE"/>
    <w:rsid w:val="004869D3"/>
    <w:rsid w:val="004A6FA5"/>
    <w:rsid w:val="004D601F"/>
    <w:rsid w:val="004E0B04"/>
    <w:rsid w:val="0051016A"/>
    <w:rsid w:val="00561D17"/>
    <w:rsid w:val="00590922"/>
    <w:rsid w:val="005E20A0"/>
    <w:rsid w:val="00670724"/>
    <w:rsid w:val="00686C05"/>
    <w:rsid w:val="006A2CD2"/>
    <w:rsid w:val="006C3AF0"/>
    <w:rsid w:val="006C6A94"/>
    <w:rsid w:val="00704C03"/>
    <w:rsid w:val="007167A1"/>
    <w:rsid w:val="00755908"/>
    <w:rsid w:val="00763EDF"/>
    <w:rsid w:val="00795BCE"/>
    <w:rsid w:val="007F1D7C"/>
    <w:rsid w:val="00826B02"/>
    <w:rsid w:val="008353BA"/>
    <w:rsid w:val="008B3CCC"/>
    <w:rsid w:val="00920372"/>
    <w:rsid w:val="00975CF8"/>
    <w:rsid w:val="00A6651E"/>
    <w:rsid w:val="00AF3F87"/>
    <w:rsid w:val="00B13FB9"/>
    <w:rsid w:val="00B20447"/>
    <w:rsid w:val="00B77CB4"/>
    <w:rsid w:val="00BD0ACC"/>
    <w:rsid w:val="00BF7372"/>
    <w:rsid w:val="00C236EA"/>
    <w:rsid w:val="00C54F75"/>
    <w:rsid w:val="00C67614"/>
    <w:rsid w:val="00CA5820"/>
    <w:rsid w:val="00CB6C5F"/>
    <w:rsid w:val="00CD444A"/>
    <w:rsid w:val="00CE4522"/>
    <w:rsid w:val="00D94376"/>
    <w:rsid w:val="00DA5E8A"/>
    <w:rsid w:val="00E56D42"/>
    <w:rsid w:val="00E63C07"/>
    <w:rsid w:val="00EA0CFF"/>
    <w:rsid w:val="00F30DD6"/>
    <w:rsid w:val="00F4287F"/>
    <w:rsid w:val="00F84BD3"/>
    <w:rsid w:val="00FB70FF"/>
    <w:rsid w:val="00FD4A6C"/>
    <w:rsid w:val="00FF6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15DB2"/>
  <w15:chartTrackingRefBased/>
  <w15:docId w15:val="{954AB1A0-C41D-2649-8B07-ECC4501A9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04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04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04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04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04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04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04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04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04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04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04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04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04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04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04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04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04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0447"/>
    <w:rPr>
      <w:rFonts w:eastAsiaTheme="majorEastAsia" w:cstheme="majorBidi"/>
      <w:color w:val="272727" w:themeColor="text1" w:themeTint="D8"/>
    </w:rPr>
  </w:style>
  <w:style w:type="paragraph" w:styleId="Title">
    <w:name w:val="Title"/>
    <w:basedOn w:val="Normal"/>
    <w:next w:val="Normal"/>
    <w:link w:val="TitleChar"/>
    <w:uiPriority w:val="10"/>
    <w:qFormat/>
    <w:rsid w:val="00B204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04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044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04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044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20447"/>
    <w:rPr>
      <w:i/>
      <w:iCs/>
      <w:color w:val="404040" w:themeColor="text1" w:themeTint="BF"/>
    </w:rPr>
  </w:style>
  <w:style w:type="paragraph" w:styleId="ListParagraph">
    <w:name w:val="List Paragraph"/>
    <w:basedOn w:val="Normal"/>
    <w:uiPriority w:val="34"/>
    <w:qFormat/>
    <w:rsid w:val="00B20447"/>
    <w:pPr>
      <w:ind w:left="720"/>
      <w:contextualSpacing/>
    </w:pPr>
  </w:style>
  <w:style w:type="character" w:styleId="IntenseEmphasis">
    <w:name w:val="Intense Emphasis"/>
    <w:basedOn w:val="DefaultParagraphFont"/>
    <w:uiPriority w:val="21"/>
    <w:qFormat/>
    <w:rsid w:val="00B20447"/>
    <w:rPr>
      <w:i/>
      <w:iCs/>
      <w:color w:val="0F4761" w:themeColor="accent1" w:themeShade="BF"/>
    </w:rPr>
  </w:style>
  <w:style w:type="paragraph" w:styleId="IntenseQuote">
    <w:name w:val="Intense Quote"/>
    <w:basedOn w:val="Normal"/>
    <w:next w:val="Normal"/>
    <w:link w:val="IntenseQuoteChar"/>
    <w:uiPriority w:val="30"/>
    <w:qFormat/>
    <w:rsid w:val="00B204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0447"/>
    <w:rPr>
      <w:i/>
      <w:iCs/>
      <w:color w:val="0F4761" w:themeColor="accent1" w:themeShade="BF"/>
    </w:rPr>
  </w:style>
  <w:style w:type="character" w:styleId="IntenseReference">
    <w:name w:val="Intense Reference"/>
    <w:basedOn w:val="DefaultParagraphFont"/>
    <w:uiPriority w:val="32"/>
    <w:qFormat/>
    <w:rsid w:val="00B20447"/>
    <w:rPr>
      <w:b/>
      <w:bCs/>
      <w:smallCaps/>
      <w:color w:val="0F4761" w:themeColor="accent1" w:themeShade="BF"/>
      <w:spacing w:val="5"/>
    </w:rPr>
  </w:style>
  <w:style w:type="paragraph" w:styleId="Header">
    <w:name w:val="header"/>
    <w:basedOn w:val="Normal"/>
    <w:link w:val="HeaderChar"/>
    <w:uiPriority w:val="99"/>
    <w:unhideWhenUsed/>
    <w:rsid w:val="00B20447"/>
    <w:pPr>
      <w:tabs>
        <w:tab w:val="center" w:pos="4680"/>
        <w:tab w:val="right" w:pos="9360"/>
      </w:tabs>
    </w:pPr>
  </w:style>
  <w:style w:type="character" w:customStyle="1" w:styleId="HeaderChar">
    <w:name w:val="Header Char"/>
    <w:basedOn w:val="DefaultParagraphFont"/>
    <w:link w:val="Header"/>
    <w:uiPriority w:val="99"/>
    <w:rsid w:val="00B20447"/>
  </w:style>
  <w:style w:type="paragraph" w:styleId="Footer">
    <w:name w:val="footer"/>
    <w:basedOn w:val="Normal"/>
    <w:link w:val="FooterChar"/>
    <w:uiPriority w:val="99"/>
    <w:unhideWhenUsed/>
    <w:rsid w:val="00B20447"/>
    <w:pPr>
      <w:tabs>
        <w:tab w:val="center" w:pos="4680"/>
        <w:tab w:val="right" w:pos="9360"/>
      </w:tabs>
    </w:pPr>
  </w:style>
  <w:style w:type="character" w:customStyle="1" w:styleId="FooterChar">
    <w:name w:val="Footer Char"/>
    <w:basedOn w:val="DefaultParagraphFont"/>
    <w:link w:val="Footer"/>
    <w:uiPriority w:val="99"/>
    <w:rsid w:val="00B20447"/>
  </w:style>
  <w:style w:type="character" w:styleId="Hyperlink">
    <w:name w:val="Hyperlink"/>
    <w:basedOn w:val="DefaultParagraphFont"/>
    <w:uiPriority w:val="99"/>
    <w:unhideWhenUsed/>
    <w:rsid w:val="00B20447"/>
    <w:rPr>
      <w:color w:val="467886" w:themeColor="hyperlink"/>
      <w:u w:val="single"/>
    </w:rPr>
  </w:style>
  <w:style w:type="character" w:styleId="UnresolvedMention">
    <w:name w:val="Unresolved Mention"/>
    <w:basedOn w:val="DefaultParagraphFont"/>
    <w:uiPriority w:val="99"/>
    <w:semiHidden/>
    <w:unhideWhenUsed/>
    <w:rsid w:val="00B20447"/>
    <w:rPr>
      <w:color w:val="605E5C"/>
      <w:shd w:val="clear" w:color="auto" w:fill="E1DFDD"/>
    </w:rPr>
  </w:style>
  <w:style w:type="paragraph" w:styleId="NormalWeb">
    <w:name w:val="Normal (Web)"/>
    <w:basedOn w:val="Normal"/>
    <w:uiPriority w:val="99"/>
    <w:unhideWhenUsed/>
    <w:rsid w:val="00B77CB4"/>
    <w:pPr>
      <w:spacing w:before="100" w:beforeAutospacing="1" w:after="100" w:afterAutospacing="1"/>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8B3CCC"/>
    <w:rPr>
      <w:sz w:val="16"/>
      <w:szCs w:val="16"/>
    </w:rPr>
  </w:style>
  <w:style w:type="paragraph" w:styleId="CommentText">
    <w:name w:val="annotation text"/>
    <w:basedOn w:val="Normal"/>
    <w:link w:val="CommentTextChar"/>
    <w:uiPriority w:val="99"/>
    <w:unhideWhenUsed/>
    <w:rsid w:val="008B3CCC"/>
    <w:rPr>
      <w:sz w:val="20"/>
      <w:szCs w:val="20"/>
    </w:rPr>
  </w:style>
  <w:style w:type="character" w:customStyle="1" w:styleId="CommentTextChar">
    <w:name w:val="Comment Text Char"/>
    <w:basedOn w:val="DefaultParagraphFont"/>
    <w:link w:val="CommentText"/>
    <w:uiPriority w:val="99"/>
    <w:rsid w:val="008B3CCC"/>
    <w:rPr>
      <w:sz w:val="20"/>
      <w:szCs w:val="20"/>
    </w:rPr>
  </w:style>
  <w:style w:type="paragraph" w:styleId="CommentSubject">
    <w:name w:val="annotation subject"/>
    <w:basedOn w:val="CommentText"/>
    <w:next w:val="CommentText"/>
    <w:link w:val="CommentSubjectChar"/>
    <w:uiPriority w:val="99"/>
    <w:semiHidden/>
    <w:unhideWhenUsed/>
    <w:rsid w:val="008B3CCC"/>
    <w:rPr>
      <w:b/>
      <w:bCs/>
    </w:rPr>
  </w:style>
  <w:style w:type="character" w:customStyle="1" w:styleId="CommentSubjectChar">
    <w:name w:val="Comment Subject Char"/>
    <w:basedOn w:val="CommentTextChar"/>
    <w:link w:val="CommentSubject"/>
    <w:uiPriority w:val="99"/>
    <w:semiHidden/>
    <w:rsid w:val="008B3C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191868">
      <w:bodyDiv w:val="1"/>
      <w:marLeft w:val="0"/>
      <w:marRight w:val="0"/>
      <w:marTop w:val="0"/>
      <w:marBottom w:val="0"/>
      <w:divBdr>
        <w:top w:val="none" w:sz="0" w:space="0" w:color="auto"/>
        <w:left w:val="none" w:sz="0" w:space="0" w:color="auto"/>
        <w:bottom w:val="none" w:sz="0" w:space="0" w:color="auto"/>
        <w:right w:val="none" w:sz="0" w:space="0" w:color="auto"/>
      </w:divBdr>
    </w:div>
    <w:div w:id="120829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Shireen Hilal</dc:creator>
  <cp:keywords/>
  <dc:description/>
  <cp:lastModifiedBy>Mannetti, Amelia</cp:lastModifiedBy>
  <cp:revision>8</cp:revision>
  <cp:lastPrinted>2025-09-23T12:48:00Z</cp:lastPrinted>
  <dcterms:created xsi:type="dcterms:W3CDTF">2025-09-30T21:35:00Z</dcterms:created>
  <dcterms:modified xsi:type="dcterms:W3CDTF">2025-10-06T19:15:00Z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f1df539-6093-4ec5-baaa-eb0dcc11254e_Enabled">
    <vt:lpwstr>true</vt:lpwstr>
  </property>
  <property fmtid="{D5CDD505-2E9C-101B-9397-08002B2CF9AE}" pid="3" name="MSIP_Label_1f1df539-6093-4ec5-baaa-eb0dcc11254e_SetDate">
    <vt:lpwstr>2025-09-30T18:08:25Z</vt:lpwstr>
  </property>
  <property fmtid="{D5CDD505-2E9C-101B-9397-08002B2CF9AE}" pid="4" name="MSIP_Label_1f1df539-6093-4ec5-baaa-eb0dcc11254e_Method">
    <vt:lpwstr>Standard</vt:lpwstr>
  </property>
  <property fmtid="{D5CDD505-2E9C-101B-9397-08002B2CF9AE}" pid="5" name="MSIP_Label_1f1df539-6093-4ec5-baaa-eb0dcc11254e_Name">
    <vt:lpwstr>General</vt:lpwstr>
  </property>
  <property fmtid="{D5CDD505-2E9C-101B-9397-08002B2CF9AE}" pid="6" name="MSIP_Label_1f1df539-6093-4ec5-baaa-eb0dcc11254e_SiteId">
    <vt:lpwstr>649fc29a-ece3-4a3b-a3c1-680a2f035a6e</vt:lpwstr>
  </property>
  <property fmtid="{D5CDD505-2E9C-101B-9397-08002B2CF9AE}" pid="7" name="MSIP_Label_1f1df539-6093-4ec5-baaa-eb0dcc11254e_ActionId">
    <vt:lpwstr>2b5bbad2-1f22-4d60-89b5-468cab56f049</vt:lpwstr>
  </property>
  <property fmtid="{D5CDD505-2E9C-101B-9397-08002B2CF9AE}" pid="8" name="MSIP_Label_1f1df539-6093-4ec5-baaa-eb0dcc11254e_ContentBits">
    <vt:lpwstr>0</vt:lpwstr>
  </property>
  <property fmtid="{D5CDD505-2E9C-101B-9397-08002B2CF9AE}" pid="9" name="MSIP_Label_1f1df539-6093-4ec5-baaa-eb0dcc11254e_Tag">
    <vt:lpwstr>10, 3, 0, 1</vt:lpwstr>
  </property>
</Properties>
</file>